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78" w:rsidRPr="00C7200C" w:rsidRDefault="004E7864">
      <w:pPr>
        <w:pStyle w:val="Hode"/>
        <w:tabs>
          <w:tab w:val="right" w:pos="9809"/>
        </w:tabs>
        <w:spacing w:line="240" w:lineRule="exact"/>
        <w:rPr>
          <w:b/>
        </w:rPr>
      </w:pPr>
      <w:r w:rsidRPr="00C7200C">
        <w:rPr>
          <w:b/>
        </w:rPr>
        <w:t>NTNU</w:t>
      </w:r>
      <w:r w:rsidRPr="00C7200C">
        <w:rPr>
          <w:b/>
        </w:rPr>
        <w:tab/>
      </w:r>
      <w:r w:rsidR="009F6C32" w:rsidRPr="00C7200C">
        <w:rPr>
          <w:b/>
        </w:rPr>
        <w:t>S</w:t>
      </w:r>
      <w:r w:rsidR="00996C78" w:rsidRPr="00C7200C">
        <w:rPr>
          <w:b/>
        </w:rPr>
        <w:t xml:space="preserve">-sak </w:t>
      </w:r>
      <w:bookmarkStart w:id="0" w:name="Ksak"/>
      <w:bookmarkEnd w:id="0"/>
      <w:r w:rsidR="00701DCF">
        <w:rPr>
          <w:b/>
        </w:rPr>
        <w:t xml:space="preserve"> 6</w:t>
      </w:r>
      <w:r w:rsidR="0003655E" w:rsidRPr="00C7200C">
        <w:rPr>
          <w:b/>
        </w:rPr>
        <w:t>/</w:t>
      </w:r>
      <w:r w:rsidR="00701DCF">
        <w:rPr>
          <w:b/>
        </w:rPr>
        <w:t>12</w:t>
      </w:r>
    </w:p>
    <w:p w:rsidR="00996C78" w:rsidRPr="00C7200C" w:rsidRDefault="00996C78">
      <w:pPr>
        <w:pStyle w:val="Hode"/>
        <w:tabs>
          <w:tab w:val="right" w:pos="9809"/>
        </w:tabs>
        <w:spacing w:line="240" w:lineRule="exact"/>
        <w:rPr>
          <w:b/>
        </w:rPr>
      </w:pPr>
      <w:r w:rsidRPr="00C7200C">
        <w:rPr>
          <w:b/>
        </w:rPr>
        <w:t>Norges teknisk-naturvitenskapelige</w:t>
      </w:r>
    </w:p>
    <w:p w:rsidR="00996C78" w:rsidRPr="00C7200C" w:rsidRDefault="00996C78">
      <w:pPr>
        <w:pStyle w:val="Hode"/>
        <w:tabs>
          <w:tab w:val="right" w:pos="9809"/>
        </w:tabs>
        <w:spacing w:line="240" w:lineRule="exact"/>
        <w:rPr>
          <w:b/>
        </w:rPr>
      </w:pPr>
      <w:r w:rsidRPr="00C7200C">
        <w:rPr>
          <w:b/>
        </w:rPr>
        <w:t>universitet</w:t>
      </w:r>
    </w:p>
    <w:p w:rsidR="00996C78" w:rsidRPr="00C7200C" w:rsidRDefault="00BE315F">
      <w:pPr>
        <w:tabs>
          <w:tab w:val="right" w:pos="9809"/>
        </w:tabs>
      </w:pPr>
      <w:bookmarkStart w:id="1" w:name="Dato"/>
      <w:bookmarkEnd w:id="1"/>
      <w:proofErr w:type="gramStart"/>
      <w:r>
        <w:t>1</w:t>
      </w:r>
      <w:r w:rsidR="008875C8">
        <w:t>7</w:t>
      </w:r>
      <w:r w:rsidR="00103164" w:rsidRPr="00C7200C">
        <w:t>.02</w:t>
      </w:r>
      <w:r w:rsidR="0003655E" w:rsidRPr="00C7200C">
        <w:t>.20</w:t>
      </w:r>
      <w:bookmarkStart w:id="2" w:name="Init"/>
      <w:bookmarkEnd w:id="2"/>
      <w:r w:rsidR="00701DCF">
        <w:t>12</w:t>
      </w:r>
      <w:proofErr w:type="gramEnd"/>
      <w:r w:rsidR="008875C8">
        <w:t>/RE/gl</w:t>
      </w:r>
    </w:p>
    <w:p w:rsidR="00996C78" w:rsidRPr="00C7200C" w:rsidRDefault="00996C78">
      <w:pPr>
        <w:pStyle w:val="Hode"/>
        <w:tabs>
          <w:tab w:val="right" w:pos="9809"/>
        </w:tabs>
      </w:pPr>
      <w:r w:rsidRPr="00C7200C">
        <w:t xml:space="preserve">Arkiv: </w:t>
      </w:r>
      <w:bookmarkStart w:id="3" w:name="Kode"/>
      <w:bookmarkEnd w:id="3"/>
      <w:r w:rsidRPr="00C7200C">
        <w:tab/>
        <w:t xml:space="preserve"> </w:t>
      </w:r>
      <w:bookmarkStart w:id="4" w:name="para"/>
      <w:bookmarkEnd w:id="4"/>
    </w:p>
    <w:p w:rsidR="00996C78" w:rsidRPr="00C7200C" w:rsidRDefault="00996C78">
      <w:pPr>
        <w:pStyle w:val="Hode"/>
        <w:tabs>
          <w:tab w:val="right" w:pos="9809"/>
        </w:tabs>
        <w:spacing w:line="240" w:lineRule="exact"/>
        <w:rPr>
          <w:b/>
        </w:rPr>
      </w:pPr>
    </w:p>
    <w:p w:rsidR="00996C78" w:rsidRPr="00C7200C" w:rsidRDefault="00996C78">
      <w:pPr>
        <w:pStyle w:val="Hode"/>
        <w:tabs>
          <w:tab w:val="right" w:pos="9809"/>
        </w:tabs>
        <w:spacing w:line="240" w:lineRule="exact"/>
      </w:pPr>
    </w:p>
    <w:p w:rsidR="00996C78" w:rsidRPr="00C7200C" w:rsidRDefault="00996C78">
      <w:pPr>
        <w:pStyle w:val="Hode"/>
        <w:tabs>
          <w:tab w:val="right" w:pos="9809"/>
        </w:tabs>
        <w:spacing w:line="240" w:lineRule="exact"/>
      </w:pPr>
    </w:p>
    <w:p w:rsidR="00996C78" w:rsidRPr="00C7200C" w:rsidRDefault="00996C78">
      <w:pPr>
        <w:pStyle w:val="Hode"/>
        <w:tabs>
          <w:tab w:val="right" w:pos="9809"/>
        </w:tabs>
        <w:spacing w:line="240" w:lineRule="exact"/>
      </w:pPr>
    </w:p>
    <w:p w:rsidR="00996C78" w:rsidRPr="00C7200C" w:rsidRDefault="00996C78">
      <w:pPr>
        <w:tabs>
          <w:tab w:val="right" w:pos="9809"/>
        </w:tabs>
        <w:jc w:val="center"/>
        <w:rPr>
          <w:b/>
          <w:sz w:val="26"/>
        </w:rPr>
      </w:pPr>
      <w:r w:rsidRPr="00C7200C">
        <w:rPr>
          <w:b/>
          <w:sz w:val="26"/>
        </w:rPr>
        <w:t>N O T A T</w:t>
      </w:r>
    </w:p>
    <w:p w:rsidR="00996C78" w:rsidRPr="00C7200C" w:rsidRDefault="00996C78">
      <w:pPr>
        <w:tabs>
          <w:tab w:val="right" w:pos="9809"/>
        </w:tabs>
        <w:rPr>
          <w:b/>
        </w:rPr>
      </w:pPr>
    </w:p>
    <w:p w:rsidR="00996C78" w:rsidRPr="00C7200C" w:rsidRDefault="00996C78">
      <w:pPr>
        <w:tabs>
          <w:tab w:val="left" w:pos="567"/>
          <w:tab w:val="right" w:pos="9809"/>
        </w:tabs>
      </w:pPr>
      <w:r w:rsidRPr="00C7200C">
        <w:t>Til:</w:t>
      </w:r>
      <w:r w:rsidRPr="00C7200C">
        <w:tab/>
      </w:r>
      <w:r w:rsidR="004E7864" w:rsidRPr="00C7200C">
        <w:t>Styret</w:t>
      </w:r>
    </w:p>
    <w:p w:rsidR="00996C78" w:rsidRPr="00C7200C" w:rsidRDefault="00996C78">
      <w:pPr>
        <w:tabs>
          <w:tab w:val="left" w:pos="567"/>
          <w:tab w:val="right" w:pos="9809"/>
        </w:tabs>
      </w:pPr>
      <w:r w:rsidRPr="00C7200C">
        <w:t>Fra:</w:t>
      </w:r>
      <w:r w:rsidRPr="00C7200C">
        <w:tab/>
      </w:r>
      <w:r w:rsidR="00DF05FD" w:rsidRPr="00C7200C">
        <w:t>Rektor</w:t>
      </w:r>
    </w:p>
    <w:p w:rsidR="00996C78" w:rsidRPr="00C7200C" w:rsidRDefault="00996C78">
      <w:pPr>
        <w:tabs>
          <w:tab w:val="left" w:pos="567"/>
          <w:tab w:val="right" w:pos="9809"/>
        </w:tabs>
        <w:ind w:left="567" w:hanging="567"/>
        <w:rPr>
          <w:b/>
        </w:rPr>
      </w:pPr>
      <w:r w:rsidRPr="00C7200C">
        <w:rPr>
          <w:b/>
        </w:rPr>
        <w:t>Om:</w:t>
      </w:r>
      <w:r w:rsidRPr="00C7200C">
        <w:rPr>
          <w:b/>
        </w:rPr>
        <w:tab/>
      </w:r>
      <w:bookmarkStart w:id="5" w:name="Om"/>
      <w:bookmarkEnd w:id="5"/>
      <w:r w:rsidR="009F6C32" w:rsidRPr="00C7200C">
        <w:rPr>
          <w:b/>
        </w:rPr>
        <w:t xml:space="preserve">Rapport og planer </w:t>
      </w:r>
      <w:r w:rsidR="0079074F">
        <w:rPr>
          <w:b/>
        </w:rPr>
        <w:t>(</w:t>
      </w:r>
      <w:r w:rsidR="00701DCF">
        <w:rPr>
          <w:b/>
        </w:rPr>
        <w:t>2011</w:t>
      </w:r>
      <w:r w:rsidR="009F6C32" w:rsidRPr="00C7200C">
        <w:rPr>
          <w:b/>
        </w:rPr>
        <w:t xml:space="preserve"> </w:t>
      </w:r>
      <w:r w:rsidR="0079074F">
        <w:rPr>
          <w:b/>
        </w:rPr>
        <w:t>–</w:t>
      </w:r>
      <w:r w:rsidR="009F6C32" w:rsidRPr="00C7200C">
        <w:rPr>
          <w:b/>
        </w:rPr>
        <w:t xml:space="preserve"> 20</w:t>
      </w:r>
      <w:r w:rsidR="00701DCF">
        <w:rPr>
          <w:b/>
        </w:rPr>
        <w:t>12</w:t>
      </w:r>
      <w:r w:rsidR="0079074F">
        <w:rPr>
          <w:b/>
        </w:rPr>
        <w:t>)</w:t>
      </w:r>
    </w:p>
    <w:p w:rsidR="00996C78" w:rsidRPr="00C7200C" w:rsidRDefault="00996C78">
      <w:pPr>
        <w:tabs>
          <w:tab w:val="left" w:pos="567"/>
          <w:tab w:val="right" w:pos="9809"/>
        </w:tabs>
      </w:pPr>
    </w:p>
    <w:p w:rsidR="00996C78" w:rsidRPr="00C7200C" w:rsidRDefault="00996C78">
      <w:pPr>
        <w:pBdr>
          <w:top w:val="single" w:sz="6" w:space="1" w:color="auto"/>
        </w:pBdr>
      </w:pPr>
    </w:p>
    <w:p w:rsidR="009F6C32" w:rsidRPr="006423C6" w:rsidRDefault="009F6C32" w:rsidP="00592BF2">
      <w:pPr>
        <w:spacing w:after="120"/>
        <w:rPr>
          <w:b/>
          <w:sz w:val="28"/>
          <w:szCs w:val="28"/>
        </w:rPr>
      </w:pPr>
      <w:bookmarkStart w:id="6" w:name="Start"/>
      <w:bookmarkStart w:id="7" w:name="OLE_LINK1"/>
      <w:bookmarkStart w:id="8" w:name="OLE_LINK2"/>
      <w:bookmarkEnd w:id="6"/>
      <w:r w:rsidRPr="006423C6">
        <w:rPr>
          <w:b/>
          <w:sz w:val="28"/>
          <w:szCs w:val="28"/>
        </w:rPr>
        <w:t>Tilrådning</w:t>
      </w:r>
    </w:p>
    <w:p w:rsidR="009F6C32" w:rsidRPr="00C7200C" w:rsidRDefault="009F6C32" w:rsidP="00592BF2">
      <w:pPr>
        <w:spacing w:after="120"/>
        <w:rPr>
          <w:szCs w:val="24"/>
        </w:rPr>
      </w:pPr>
      <w:r w:rsidRPr="00C7200C">
        <w:rPr>
          <w:szCs w:val="24"/>
        </w:rPr>
        <w:t xml:space="preserve">Styret </w:t>
      </w:r>
      <w:r w:rsidR="000643B3" w:rsidRPr="00C7200C">
        <w:rPr>
          <w:szCs w:val="24"/>
        </w:rPr>
        <w:t xml:space="preserve">tar vedlagte </w:t>
      </w:r>
      <w:r w:rsidR="00FC2AA7" w:rsidRPr="00C7200C">
        <w:rPr>
          <w:szCs w:val="24"/>
        </w:rPr>
        <w:t>r</w:t>
      </w:r>
      <w:r w:rsidRPr="00C7200C">
        <w:rPr>
          <w:szCs w:val="24"/>
        </w:rPr>
        <w:t>apport- og plandokument ti</w:t>
      </w:r>
      <w:r w:rsidR="008875C8">
        <w:rPr>
          <w:szCs w:val="24"/>
        </w:rPr>
        <w:t>l Kunnskapsdepartementet for 201</w:t>
      </w:r>
      <w:r w:rsidR="006B07AA">
        <w:rPr>
          <w:szCs w:val="24"/>
        </w:rPr>
        <w:t>1</w:t>
      </w:r>
      <w:r w:rsidRPr="00C7200C">
        <w:rPr>
          <w:szCs w:val="24"/>
        </w:rPr>
        <w:t xml:space="preserve"> </w:t>
      </w:r>
      <w:r w:rsidR="008F48BC" w:rsidRPr="00C7200C">
        <w:rPr>
          <w:szCs w:val="24"/>
        </w:rPr>
        <w:t>–</w:t>
      </w:r>
      <w:r w:rsidRPr="00C7200C">
        <w:rPr>
          <w:szCs w:val="24"/>
        </w:rPr>
        <w:t xml:space="preserve"> 20</w:t>
      </w:r>
      <w:r w:rsidR="006B07AA">
        <w:rPr>
          <w:szCs w:val="24"/>
        </w:rPr>
        <w:t>12</w:t>
      </w:r>
      <w:r w:rsidR="000643B3" w:rsidRPr="00C7200C">
        <w:rPr>
          <w:szCs w:val="24"/>
        </w:rPr>
        <w:t xml:space="preserve"> til etterretning</w:t>
      </w:r>
      <w:r w:rsidR="008F48BC" w:rsidRPr="00C7200C">
        <w:rPr>
          <w:szCs w:val="24"/>
        </w:rPr>
        <w:t>. Rektor gis fullmakt ti</w:t>
      </w:r>
      <w:r w:rsidR="00A00A7B">
        <w:rPr>
          <w:szCs w:val="24"/>
        </w:rPr>
        <w:t xml:space="preserve">l å gjøre eventuelle endringer i lys av </w:t>
      </w:r>
      <w:r w:rsidR="008F48BC" w:rsidRPr="00C7200C">
        <w:rPr>
          <w:szCs w:val="24"/>
        </w:rPr>
        <w:t xml:space="preserve">behandlingen i </w:t>
      </w:r>
      <w:r w:rsidR="004E79F0">
        <w:rPr>
          <w:szCs w:val="24"/>
        </w:rPr>
        <w:t>s</w:t>
      </w:r>
      <w:r w:rsidR="008F48BC" w:rsidRPr="00C7200C">
        <w:rPr>
          <w:szCs w:val="24"/>
        </w:rPr>
        <w:t>tyret.</w:t>
      </w:r>
    </w:p>
    <w:bookmarkEnd w:id="7"/>
    <w:bookmarkEnd w:id="8"/>
    <w:p w:rsidR="009F6C32" w:rsidRPr="00C7200C" w:rsidRDefault="009F6C32" w:rsidP="00592BF2">
      <w:pPr>
        <w:spacing w:after="120"/>
        <w:rPr>
          <w:b/>
          <w:szCs w:val="24"/>
        </w:rPr>
      </w:pPr>
      <w:r w:rsidRPr="00C7200C">
        <w:rPr>
          <w:b/>
          <w:szCs w:val="24"/>
        </w:rPr>
        <w:softHyphen/>
      </w:r>
      <w:r w:rsidRPr="00C7200C">
        <w:rPr>
          <w:b/>
          <w:szCs w:val="24"/>
        </w:rPr>
        <w:softHyphen/>
      </w:r>
      <w:r w:rsidRPr="00C7200C">
        <w:rPr>
          <w:b/>
          <w:szCs w:val="24"/>
        </w:rPr>
        <w:softHyphen/>
      </w:r>
      <w:r w:rsidRPr="00C7200C">
        <w:rPr>
          <w:b/>
          <w:szCs w:val="24"/>
        </w:rPr>
        <w:softHyphen/>
      </w:r>
      <w:r w:rsidRPr="00C7200C">
        <w:rPr>
          <w:b/>
          <w:szCs w:val="24"/>
        </w:rPr>
        <w:softHyphen/>
      </w:r>
      <w:r w:rsidRPr="00C7200C">
        <w:rPr>
          <w:b/>
          <w:szCs w:val="24"/>
        </w:rPr>
        <w:softHyphen/>
      </w:r>
      <w:r w:rsidRPr="00C7200C">
        <w:rPr>
          <w:b/>
          <w:szCs w:val="24"/>
        </w:rPr>
        <w:softHyphen/>
      </w:r>
      <w:r w:rsidRPr="00C7200C">
        <w:rPr>
          <w:b/>
          <w:szCs w:val="24"/>
        </w:rPr>
        <w:softHyphen/>
      </w:r>
      <w:r w:rsidRPr="00C7200C">
        <w:rPr>
          <w:b/>
          <w:szCs w:val="24"/>
        </w:rPr>
        <w:softHyphen/>
      </w:r>
      <w:r w:rsidRPr="00C7200C">
        <w:rPr>
          <w:b/>
          <w:szCs w:val="24"/>
        </w:rPr>
        <w:softHyphen/>
      </w:r>
      <w:r w:rsidRPr="00C7200C">
        <w:rPr>
          <w:b/>
          <w:szCs w:val="24"/>
        </w:rPr>
        <w:softHyphen/>
      </w:r>
      <w:r w:rsidRPr="00C7200C">
        <w:rPr>
          <w:b/>
          <w:szCs w:val="24"/>
        </w:rPr>
        <w:softHyphen/>
      </w:r>
      <w:r w:rsidRPr="00C7200C">
        <w:rPr>
          <w:b/>
          <w:szCs w:val="24"/>
        </w:rPr>
        <w:softHyphen/>
      </w:r>
      <w:r w:rsidRPr="00C7200C">
        <w:rPr>
          <w:b/>
          <w:szCs w:val="24"/>
        </w:rPr>
        <w:softHyphen/>
      </w:r>
      <w:r w:rsidRPr="00C7200C">
        <w:rPr>
          <w:b/>
          <w:szCs w:val="24"/>
        </w:rPr>
        <w:softHyphen/>
        <w:t>_________________________________________________________________________________</w:t>
      </w:r>
    </w:p>
    <w:p w:rsidR="00E72FBD" w:rsidRPr="006423C6" w:rsidRDefault="00E72FBD" w:rsidP="00592BF2">
      <w:pPr>
        <w:spacing w:after="120"/>
        <w:rPr>
          <w:b/>
          <w:sz w:val="28"/>
          <w:szCs w:val="28"/>
        </w:rPr>
      </w:pPr>
      <w:r w:rsidRPr="006423C6">
        <w:rPr>
          <w:b/>
          <w:sz w:val="28"/>
          <w:szCs w:val="28"/>
        </w:rPr>
        <w:t>Innledning</w:t>
      </w:r>
    </w:p>
    <w:p w:rsidR="00CE0EBA" w:rsidRDefault="006B07AA" w:rsidP="00811DC1">
      <w:pPr>
        <w:pStyle w:val="Brdtekst"/>
      </w:pPr>
      <w:r>
        <w:rPr>
          <w:i/>
        </w:rPr>
        <w:t>Rapport og planer (2011</w:t>
      </w:r>
      <w:r w:rsidR="000643B3" w:rsidRPr="00C7200C">
        <w:rPr>
          <w:i/>
        </w:rPr>
        <w:t>–20</w:t>
      </w:r>
      <w:r w:rsidR="004E79F0">
        <w:rPr>
          <w:i/>
        </w:rPr>
        <w:t>1</w:t>
      </w:r>
      <w:r>
        <w:rPr>
          <w:i/>
        </w:rPr>
        <w:t>2</w:t>
      </w:r>
      <w:r w:rsidR="000643B3" w:rsidRPr="00C7200C">
        <w:t>)</w:t>
      </w:r>
      <w:r w:rsidR="00832706" w:rsidRPr="00C7200C">
        <w:t xml:space="preserve"> er NTNUs rapport til Kunnskapsdepartementet (KD) i forhold til</w:t>
      </w:r>
      <w:r w:rsidR="00CE0EBA" w:rsidRPr="00C7200C">
        <w:t xml:space="preserve"> gitte mål og fokusområder for virksomheten, samt planer for 20</w:t>
      </w:r>
      <w:r>
        <w:t>12</w:t>
      </w:r>
      <w:r w:rsidR="00CE0EBA" w:rsidRPr="00C7200C">
        <w:t>. KD gir detaljerte retningslinjer for disposisjon og innhold i rapport- og plandokumentet.</w:t>
      </w:r>
    </w:p>
    <w:p w:rsidR="004E14BC" w:rsidRPr="00C7200C" w:rsidRDefault="004E14BC" w:rsidP="004E14BC">
      <w:pPr>
        <w:pStyle w:val="Brdtekst"/>
      </w:pPr>
      <w:r w:rsidRPr="00C7200C">
        <w:t>Rapport</w:t>
      </w:r>
      <w:r>
        <w:t>-</w:t>
      </w:r>
      <w:r w:rsidRPr="00C7200C">
        <w:t xml:space="preserve"> og plandokumentet har følgende struktur:</w:t>
      </w:r>
    </w:p>
    <w:p w:rsidR="004E14BC" w:rsidRPr="00C7200C" w:rsidRDefault="006B07AA" w:rsidP="004E14BC">
      <w:pPr>
        <w:numPr>
          <w:ilvl w:val="0"/>
          <w:numId w:val="3"/>
        </w:numPr>
      </w:pPr>
      <w:r>
        <w:t xml:space="preserve">Kapittel 1: Innleiing </w:t>
      </w:r>
      <w:proofErr w:type="spellStart"/>
      <w:r>
        <w:t>frå</w:t>
      </w:r>
      <w:proofErr w:type="spellEnd"/>
      <w:r w:rsidR="008875C8">
        <w:t xml:space="preserve"> styret</w:t>
      </w:r>
    </w:p>
    <w:p w:rsidR="004E14BC" w:rsidRPr="00B1252E" w:rsidRDefault="00BE315F" w:rsidP="00BE315F">
      <w:pPr>
        <w:numPr>
          <w:ilvl w:val="0"/>
          <w:numId w:val="3"/>
        </w:numPr>
        <w:rPr>
          <w:lang w:val="nn-NO"/>
        </w:rPr>
      </w:pPr>
      <w:r w:rsidRPr="00B1252E">
        <w:rPr>
          <w:lang w:val="nn-NO"/>
        </w:rPr>
        <w:t xml:space="preserve">Kapittel 2: </w:t>
      </w:r>
      <w:r w:rsidR="006B07AA">
        <w:rPr>
          <w:lang w:val="nn-NO"/>
        </w:rPr>
        <w:t>Hendingar og høgdepunkt i 2011</w:t>
      </w:r>
    </w:p>
    <w:p w:rsidR="004E14BC" w:rsidRPr="00C7200C" w:rsidRDefault="00BE315F" w:rsidP="004E14BC">
      <w:pPr>
        <w:numPr>
          <w:ilvl w:val="0"/>
          <w:numId w:val="3"/>
        </w:numPr>
      </w:pPr>
      <w:r>
        <w:t xml:space="preserve">Kapittel 3: </w:t>
      </w:r>
      <w:r w:rsidR="008875C8">
        <w:t>Resultatrapport for 201</w:t>
      </w:r>
      <w:r w:rsidR="006B07AA">
        <w:t>1</w:t>
      </w:r>
    </w:p>
    <w:p w:rsidR="004E14BC" w:rsidRDefault="00BE315F" w:rsidP="004E14BC">
      <w:pPr>
        <w:numPr>
          <w:ilvl w:val="0"/>
          <w:numId w:val="3"/>
        </w:numPr>
      </w:pPr>
      <w:r>
        <w:t xml:space="preserve">Kapittel 4: </w:t>
      </w:r>
      <w:r w:rsidR="004E14BC" w:rsidRPr="00C7200C">
        <w:t xml:space="preserve">Planer for </w:t>
      </w:r>
      <w:r w:rsidR="006B07AA">
        <w:t>2012</w:t>
      </w:r>
    </w:p>
    <w:p w:rsidR="004E79F0" w:rsidRPr="00C7200C" w:rsidRDefault="004E79F0" w:rsidP="004E14BC">
      <w:pPr>
        <w:numPr>
          <w:ilvl w:val="0"/>
          <w:numId w:val="3"/>
        </w:numPr>
      </w:pPr>
      <w:r>
        <w:t>Vedlegg</w:t>
      </w:r>
    </w:p>
    <w:p w:rsidR="00BE315F" w:rsidRDefault="00BE315F" w:rsidP="00811DC1">
      <w:pPr>
        <w:pStyle w:val="Brdtekst"/>
      </w:pPr>
    </w:p>
    <w:p w:rsidR="004E79F0" w:rsidRDefault="008875C8" w:rsidP="00BE315F">
      <w:pPr>
        <w:spacing w:after="120"/>
      </w:pPr>
      <w:r>
        <w:rPr>
          <w:b/>
          <w:i/>
        </w:rPr>
        <w:t xml:space="preserve">Kapittel 1, Innleiing </w:t>
      </w:r>
      <w:proofErr w:type="spellStart"/>
      <w:r>
        <w:rPr>
          <w:b/>
          <w:i/>
        </w:rPr>
        <w:t>frå</w:t>
      </w:r>
      <w:proofErr w:type="spellEnd"/>
      <w:r>
        <w:rPr>
          <w:b/>
          <w:i/>
        </w:rPr>
        <w:t xml:space="preserve"> styret</w:t>
      </w:r>
      <w:r w:rsidR="00BE315F" w:rsidRPr="00BE315F">
        <w:t xml:space="preserve">, </w:t>
      </w:r>
      <w:r w:rsidR="00BE315F">
        <w:t xml:space="preserve">er en overordnet vurdering av året som er gått </w:t>
      </w:r>
      <w:r w:rsidR="008C0547">
        <w:t xml:space="preserve">og utfordringer </w:t>
      </w:r>
      <w:r w:rsidR="004E79F0">
        <w:t xml:space="preserve">som styret ved NTNU </w:t>
      </w:r>
      <w:r w:rsidR="008C0547">
        <w:t xml:space="preserve">ser fremover. </w:t>
      </w:r>
      <w:r w:rsidR="004E79F0">
        <w:t xml:space="preserve">Dette kapittelet ble første </w:t>
      </w:r>
      <w:r w:rsidR="00C27594">
        <w:t>gang lagt frem for styret den 23.</w:t>
      </w:r>
      <w:r w:rsidR="004E79F0">
        <w:t>januar i år. I tillegg ber KD om en mer omfattende besk</w:t>
      </w:r>
      <w:r w:rsidR="00C27594">
        <w:t>rivelse av styrets arbeid i 2011</w:t>
      </w:r>
      <w:r w:rsidR="004E79F0">
        <w:t>, knyttet til gitte punkter. Dette er beskrevet i kapittel 3.6. Rektors forslag til kapittel 3.6 ble også lagt frem for styret i januarmøtet.</w:t>
      </w:r>
    </w:p>
    <w:p w:rsidR="007828FB" w:rsidRDefault="004E79F0" w:rsidP="00811DC1">
      <w:pPr>
        <w:pStyle w:val="Brdtekst"/>
      </w:pPr>
      <w:r>
        <w:rPr>
          <w:b/>
          <w:i/>
        </w:rPr>
        <w:t>I k</w:t>
      </w:r>
      <w:r w:rsidR="008C0547" w:rsidRPr="008B73B0">
        <w:rPr>
          <w:b/>
          <w:i/>
        </w:rPr>
        <w:t xml:space="preserve">apittel </w:t>
      </w:r>
      <w:r w:rsidR="008C0547" w:rsidRPr="008B73B0">
        <w:rPr>
          <w:b/>
        </w:rPr>
        <w:t>2</w:t>
      </w:r>
      <w:r>
        <w:rPr>
          <w:b/>
        </w:rPr>
        <w:t xml:space="preserve">, </w:t>
      </w:r>
      <w:proofErr w:type="spellStart"/>
      <w:r w:rsidR="00C27594">
        <w:rPr>
          <w:b/>
          <w:i/>
        </w:rPr>
        <w:t>H</w:t>
      </w:r>
      <w:r w:rsidR="008C7651">
        <w:rPr>
          <w:b/>
          <w:i/>
        </w:rPr>
        <w:t>endingar</w:t>
      </w:r>
      <w:proofErr w:type="spellEnd"/>
      <w:r w:rsidR="00C27594">
        <w:rPr>
          <w:b/>
          <w:i/>
        </w:rPr>
        <w:t xml:space="preserve"> og høgdepunkt i 2011</w:t>
      </w:r>
      <w:r>
        <w:rPr>
          <w:b/>
          <w:i/>
        </w:rPr>
        <w:t>,</w:t>
      </w:r>
      <w:r w:rsidR="008C0547">
        <w:t xml:space="preserve"> </w:t>
      </w:r>
      <w:r w:rsidR="00C27594">
        <w:t>omtales NTNUs</w:t>
      </w:r>
      <w:r w:rsidR="00C93D15">
        <w:t xml:space="preserve"> </w:t>
      </w:r>
      <w:r w:rsidR="00C27594">
        <w:t xml:space="preserve">reviderte strategi </w:t>
      </w:r>
      <w:r w:rsidR="00C93D15">
        <w:t xml:space="preserve">og </w:t>
      </w:r>
      <w:r>
        <w:t xml:space="preserve">de viktigste høydepunktene </w:t>
      </w:r>
      <w:r w:rsidR="00C93D15">
        <w:t xml:space="preserve">for øvrig </w:t>
      </w:r>
      <w:r>
        <w:t xml:space="preserve">ved NTNU innen områdene forskning, utdanning, formidling, nyskaping og organisasjon og ressurser. </w:t>
      </w:r>
      <w:r w:rsidR="007828FB">
        <w:t xml:space="preserve">Høydepunktene sees i forhold til hovedmålene for hvert av områdene i NTNUs strategi </w:t>
      </w:r>
      <w:r w:rsidR="00C27594">
        <w:rPr>
          <w:i/>
        </w:rPr>
        <w:t>– Kunnskap for en bedre verden</w:t>
      </w:r>
      <w:r w:rsidR="007828FB">
        <w:t xml:space="preserve">. </w:t>
      </w:r>
      <w:r>
        <w:t>Dette kapitlet har NTNU selv valgt å ta med</w:t>
      </w:r>
      <w:r w:rsidR="007828FB">
        <w:t xml:space="preserve"> for </w:t>
      </w:r>
      <w:r w:rsidR="004C4849">
        <w:t>å</w:t>
      </w:r>
      <w:r w:rsidR="007828FB">
        <w:t xml:space="preserve"> </w:t>
      </w:r>
      <w:r w:rsidR="004C4849">
        <w:t xml:space="preserve">omtale viktige positive hendelser, men også i noen tilfeller kritiske forhold som har krevd stor institusjonell oppmerksomhet. </w:t>
      </w:r>
    </w:p>
    <w:p w:rsidR="0003203F" w:rsidRDefault="000C4258" w:rsidP="00811DC1">
      <w:pPr>
        <w:pStyle w:val="Brdtekst"/>
      </w:pPr>
      <w:r w:rsidRPr="000C4258">
        <w:rPr>
          <w:b/>
          <w:i/>
        </w:rPr>
        <w:t>Kapittel 3, Resultatrapport for 20</w:t>
      </w:r>
      <w:r w:rsidR="00283B78">
        <w:rPr>
          <w:b/>
          <w:i/>
        </w:rPr>
        <w:t>11</w:t>
      </w:r>
      <w:r>
        <w:t xml:space="preserve">, </w:t>
      </w:r>
      <w:r w:rsidR="004C4849">
        <w:t>presenterer</w:t>
      </w:r>
      <w:r w:rsidR="004C4849" w:rsidRPr="00C7200C">
        <w:t xml:space="preserve"> </w:t>
      </w:r>
      <w:r w:rsidR="00CE0EBA" w:rsidRPr="00C7200C">
        <w:t xml:space="preserve">resultater i forhold til </w:t>
      </w:r>
      <w:r w:rsidR="00832706" w:rsidRPr="00C7200C">
        <w:t>oppsatte</w:t>
      </w:r>
      <w:r w:rsidR="000643B3" w:rsidRPr="00C7200C">
        <w:t xml:space="preserve"> </w:t>
      </w:r>
      <w:r w:rsidR="00283B78">
        <w:t>mål og styringsparametere</w:t>
      </w:r>
      <w:r w:rsidR="00D72FDA">
        <w:t xml:space="preserve">, </w:t>
      </w:r>
      <w:r w:rsidR="00283B78">
        <w:t>både NTNUs egne</w:t>
      </w:r>
      <w:r w:rsidR="00832706" w:rsidRPr="00C7200C">
        <w:t xml:space="preserve"> </w:t>
      </w:r>
      <w:r w:rsidR="007828FB">
        <w:t xml:space="preserve">under prioriterte målområder </w:t>
      </w:r>
      <w:r w:rsidR="00832706" w:rsidRPr="00C7200C">
        <w:t xml:space="preserve">og </w:t>
      </w:r>
      <w:r w:rsidR="005E222F">
        <w:t xml:space="preserve">kvalitative og kvantitative </w:t>
      </w:r>
      <w:proofErr w:type="spellStart"/>
      <w:r w:rsidR="008C52B2">
        <w:t>styringsparametre</w:t>
      </w:r>
      <w:proofErr w:type="spellEnd"/>
      <w:r w:rsidR="004C4849">
        <w:t xml:space="preserve"> </w:t>
      </w:r>
      <w:r w:rsidR="00832706" w:rsidRPr="00C7200C">
        <w:t xml:space="preserve">gitt av </w:t>
      </w:r>
      <w:r w:rsidR="00F372A6">
        <w:t>KD</w:t>
      </w:r>
      <w:r w:rsidR="004C4849">
        <w:t>.</w:t>
      </w:r>
      <w:r w:rsidR="008C52B2">
        <w:t xml:space="preserve"> </w:t>
      </w:r>
      <w:r w:rsidR="005E222F">
        <w:t>I til</w:t>
      </w:r>
      <w:r w:rsidR="00283B78">
        <w:t>l</w:t>
      </w:r>
      <w:r w:rsidR="005E222F">
        <w:t>egg beskrives kort arbeid som er gjort for å følge opp risikoforhold som ble kartlagt på overordnet nivå for NTNU ved innga</w:t>
      </w:r>
      <w:r w:rsidR="00283B78">
        <w:t>ngen av 2011</w:t>
      </w:r>
      <w:r w:rsidR="005E222F">
        <w:t xml:space="preserve">. </w:t>
      </w:r>
      <w:r w:rsidR="00832706" w:rsidRPr="00C7200C">
        <w:t xml:space="preserve"> </w:t>
      </w:r>
      <w:r w:rsidR="00CE0EBA" w:rsidRPr="00C7200C">
        <w:t xml:space="preserve">I tilfeller hvor det er vesentlig avvik mellom mål og resultater, gis det en kortfattet </w:t>
      </w:r>
      <w:r w:rsidR="00C9621E">
        <w:t>vurdering</w:t>
      </w:r>
      <w:r w:rsidR="00CE0EBA" w:rsidRPr="00C7200C">
        <w:t xml:space="preserve"> av årsaken til dette.</w:t>
      </w:r>
      <w:r>
        <w:t xml:space="preserve"> </w:t>
      </w:r>
    </w:p>
    <w:p w:rsidR="002B3FB7" w:rsidRDefault="005E222F" w:rsidP="00811DC1">
      <w:pPr>
        <w:pStyle w:val="Brdtekst"/>
      </w:pPr>
      <w:r>
        <w:t>De kvantitative i</w:t>
      </w:r>
      <w:r w:rsidR="000C4258">
        <w:t xml:space="preserve">ndikatorene er i all hovedsak de samme som året før, mens de </w:t>
      </w:r>
      <w:r w:rsidR="0079074F">
        <w:t xml:space="preserve">kvalitative </w:t>
      </w:r>
      <w:proofErr w:type="spellStart"/>
      <w:r w:rsidR="0079074F">
        <w:t>parametrene</w:t>
      </w:r>
      <w:proofErr w:type="spellEnd"/>
      <w:r w:rsidR="0079074F">
        <w:t xml:space="preserve"> er noe endret</w:t>
      </w:r>
      <w:r w:rsidR="004C4849">
        <w:t>.</w:t>
      </w:r>
      <w:r w:rsidR="0079074F">
        <w:t xml:space="preserve"> De kvalitative parameterne</w:t>
      </w:r>
      <w:r w:rsidR="00D72FDA">
        <w:t>,</w:t>
      </w:r>
      <w:r w:rsidR="0079074F">
        <w:t xml:space="preserve"> og spesielle rapporteringskrav under </w:t>
      </w:r>
      <w:r w:rsidR="0079074F" w:rsidRPr="0079074F">
        <w:rPr>
          <w:i/>
        </w:rPr>
        <w:t xml:space="preserve">Øvrig </w:t>
      </w:r>
      <w:r w:rsidR="0079074F" w:rsidRPr="0079074F">
        <w:rPr>
          <w:i/>
        </w:rPr>
        <w:lastRenderedPageBreak/>
        <w:t>rapportering</w:t>
      </w:r>
      <w:r w:rsidR="0079074F">
        <w:t xml:space="preserve"> (kapittel 3.6 og utover), omhandler i stor grad </w:t>
      </w:r>
      <w:r w:rsidR="000C4258">
        <w:t xml:space="preserve">en rapportering </w:t>
      </w:r>
      <w:r w:rsidR="004C4849">
        <w:t xml:space="preserve">om </w:t>
      </w:r>
      <w:r w:rsidR="0079074F">
        <w:t>strategiarbeid, prosesser for virksomhetsstyring, systemer</w:t>
      </w:r>
      <w:r w:rsidR="000C4258">
        <w:t xml:space="preserve"> </w:t>
      </w:r>
      <w:r w:rsidR="0079074F">
        <w:t>og intern</w:t>
      </w:r>
      <w:r w:rsidR="00AC0A69">
        <w:t>kontroll</w:t>
      </w:r>
      <w:r w:rsidR="000C4258">
        <w:t>.</w:t>
      </w:r>
    </w:p>
    <w:p w:rsidR="000B274F" w:rsidRDefault="001A1FB0" w:rsidP="00811DC1">
      <w:pPr>
        <w:pStyle w:val="Brdtekst"/>
      </w:pPr>
      <w:r w:rsidRPr="001A1FB0">
        <w:rPr>
          <w:b/>
          <w:i/>
        </w:rPr>
        <w:t xml:space="preserve">Kapittel 4, </w:t>
      </w:r>
      <w:r w:rsidR="00B3661E" w:rsidRPr="001A1FB0">
        <w:rPr>
          <w:b/>
          <w:i/>
        </w:rPr>
        <w:t>Plane</w:t>
      </w:r>
      <w:r w:rsidRPr="001A1FB0">
        <w:rPr>
          <w:b/>
          <w:i/>
        </w:rPr>
        <w:t>r</w:t>
      </w:r>
      <w:r w:rsidR="00473EB4" w:rsidRPr="001A1FB0">
        <w:rPr>
          <w:b/>
          <w:i/>
        </w:rPr>
        <w:t xml:space="preserve"> 20</w:t>
      </w:r>
      <w:r w:rsidR="0079074F">
        <w:rPr>
          <w:b/>
          <w:i/>
        </w:rPr>
        <w:t>1</w:t>
      </w:r>
      <w:r w:rsidR="002C0F5E">
        <w:rPr>
          <w:b/>
          <w:i/>
        </w:rPr>
        <w:t>2</w:t>
      </w:r>
      <w:r w:rsidR="002C0F5E">
        <w:t>, omtaler NTNUs planer for 2012</w:t>
      </w:r>
      <w:r w:rsidR="00B4133F">
        <w:t xml:space="preserve"> på de enkelte hovedområder inklusive</w:t>
      </w:r>
      <w:r w:rsidR="002B3FB7">
        <w:t xml:space="preserve"> </w:t>
      </w:r>
      <w:r w:rsidR="002C0F5E">
        <w:t xml:space="preserve">omtale og </w:t>
      </w:r>
      <w:r w:rsidR="002B3FB7">
        <w:t>ambisjonsnivå f</w:t>
      </w:r>
      <w:r w:rsidR="00B4133F">
        <w:t xml:space="preserve">or </w:t>
      </w:r>
      <w:r w:rsidR="002C0F5E">
        <w:t xml:space="preserve">de nye </w:t>
      </w:r>
      <w:r w:rsidR="00B4133F">
        <w:t>styringsparamet</w:t>
      </w:r>
      <w:r w:rsidR="002C0F5E">
        <w:t>e</w:t>
      </w:r>
      <w:r w:rsidR="00B4133F">
        <w:t>re gitt av KD</w:t>
      </w:r>
      <w:r w:rsidR="00D14E28">
        <w:t xml:space="preserve"> og for de foreløpige vedtatte NTNU-indikatorene (av KD omtalt som</w:t>
      </w:r>
      <w:r w:rsidR="000B274F">
        <w:t xml:space="preserve"> styringsparametere) for 2012. </w:t>
      </w:r>
      <w:r w:rsidR="00D14E28">
        <w:t xml:space="preserve">Videre inneholder kapittel 4 en redegjørelse om </w:t>
      </w:r>
      <w:r w:rsidR="002B3FB7">
        <w:t xml:space="preserve">fordeling av ressurser og planlagte byggeprosjekter. </w:t>
      </w:r>
      <w:r w:rsidR="00371E35">
        <w:t xml:space="preserve">Sistnevnte er </w:t>
      </w:r>
      <w:r w:rsidR="004C4849">
        <w:t xml:space="preserve">gjort etter </w:t>
      </w:r>
      <w:r w:rsidR="00371E35">
        <w:t xml:space="preserve">forespørsel fra KD. </w:t>
      </w:r>
    </w:p>
    <w:p w:rsidR="00F56309" w:rsidRPr="00C7200C" w:rsidRDefault="002B3FB7" w:rsidP="00811DC1">
      <w:pPr>
        <w:pStyle w:val="Brdtekst"/>
      </w:pPr>
      <w:r>
        <w:t>U</w:t>
      </w:r>
      <w:r w:rsidR="00371E35">
        <w:t xml:space="preserve">tkast til </w:t>
      </w:r>
      <w:r w:rsidR="00FF6A0C" w:rsidRPr="00371E35">
        <w:rPr>
          <w:i/>
        </w:rPr>
        <w:t>R</w:t>
      </w:r>
      <w:r w:rsidR="00FC2AA7" w:rsidRPr="00371E35">
        <w:rPr>
          <w:i/>
        </w:rPr>
        <w:t>apport</w:t>
      </w:r>
      <w:r w:rsidR="00371E35" w:rsidRPr="00371E35">
        <w:rPr>
          <w:i/>
        </w:rPr>
        <w:t xml:space="preserve"> og </w:t>
      </w:r>
      <w:r w:rsidR="00FC2AA7" w:rsidRPr="00371E35">
        <w:rPr>
          <w:i/>
        </w:rPr>
        <w:t>plan</w:t>
      </w:r>
      <w:r w:rsidR="002C0F5E">
        <w:rPr>
          <w:i/>
        </w:rPr>
        <w:t>er 2011</w:t>
      </w:r>
      <w:r w:rsidR="0065593C" w:rsidRPr="00371E35">
        <w:rPr>
          <w:i/>
        </w:rPr>
        <w:t xml:space="preserve"> – 20</w:t>
      </w:r>
      <w:r w:rsidR="002C0F5E">
        <w:rPr>
          <w:i/>
        </w:rPr>
        <w:t>12</w:t>
      </w:r>
      <w:r w:rsidR="0065593C" w:rsidRPr="00C7200C">
        <w:t xml:space="preserve"> er lagt ved</w:t>
      </w:r>
      <w:r w:rsidR="00F56309" w:rsidRPr="00C7200C">
        <w:t xml:space="preserve">. </w:t>
      </w:r>
      <w:r w:rsidR="00BD0BAF">
        <w:t>Resultater for vitenskapeli</w:t>
      </w:r>
      <w:r w:rsidR="002C0F5E">
        <w:t>g publisering foreligger først 30.mars</w:t>
      </w:r>
      <w:r w:rsidR="00BD0BAF">
        <w:t xml:space="preserve">, og KD forventer derfor ikke at det rapporteres på </w:t>
      </w:r>
      <w:r w:rsidR="0009637F">
        <w:t xml:space="preserve">de berørte </w:t>
      </w:r>
      <w:proofErr w:type="spellStart"/>
      <w:r w:rsidR="0009637F">
        <w:t>styringsparametre</w:t>
      </w:r>
      <w:proofErr w:type="spellEnd"/>
      <w:r w:rsidR="0009637F">
        <w:t xml:space="preserve"> i </w:t>
      </w:r>
      <w:r w:rsidR="002C0F5E">
        <w:rPr>
          <w:i/>
        </w:rPr>
        <w:t>Rapport og planer 2011-2012</w:t>
      </w:r>
      <w:r w:rsidR="00BD0BAF">
        <w:t xml:space="preserve">. NTNU må </w:t>
      </w:r>
      <w:r w:rsidR="005A1509">
        <w:t xml:space="preserve">være forberedt på å </w:t>
      </w:r>
      <w:r w:rsidR="00BD0BAF">
        <w:t>kommentere og svare på spørsmål om utviklingen i den vit</w:t>
      </w:r>
      <w:r w:rsidR="002C0F5E">
        <w:t>enskapelige publiseringen i 2011</w:t>
      </w:r>
      <w:r w:rsidR="00BD0BAF">
        <w:t xml:space="preserve"> i etat</w:t>
      </w:r>
      <w:r w:rsidR="00563A66">
        <w:t>s</w:t>
      </w:r>
      <w:r w:rsidR="002C0F5E">
        <w:t>styringsmøtet den 7</w:t>
      </w:r>
      <w:r w:rsidR="00BD0BAF">
        <w:t>.mai</w:t>
      </w:r>
      <w:r w:rsidR="00371E35">
        <w:t xml:space="preserve">. </w:t>
      </w:r>
      <w:r w:rsidR="00D14E28">
        <w:t xml:space="preserve"> </w:t>
      </w:r>
      <w:r w:rsidR="00F56309" w:rsidRPr="00C7200C">
        <w:t xml:space="preserve">Nedenfor </w:t>
      </w:r>
      <w:r w:rsidR="00D720F5">
        <w:t>o</w:t>
      </w:r>
      <w:r w:rsidR="00F56309" w:rsidRPr="00C7200C">
        <w:t>ppsummer</w:t>
      </w:r>
      <w:r w:rsidR="00D720F5">
        <w:t>es</w:t>
      </w:r>
      <w:r w:rsidR="00F56309" w:rsidRPr="00C7200C">
        <w:t xml:space="preserve"> </w:t>
      </w:r>
      <w:r w:rsidR="00371E35">
        <w:t>kap</w:t>
      </w:r>
      <w:r w:rsidR="005A1509">
        <w:t>i</w:t>
      </w:r>
      <w:r w:rsidR="002C0F5E">
        <w:t>ttel 3, Resultatrapport for 2011</w:t>
      </w:r>
      <w:r w:rsidR="00371E35">
        <w:t xml:space="preserve"> og kapittel 4, Planer 20</w:t>
      </w:r>
      <w:r w:rsidR="002C0F5E">
        <w:t>12</w:t>
      </w:r>
      <w:r w:rsidR="00371E35">
        <w:t>.</w:t>
      </w:r>
    </w:p>
    <w:p w:rsidR="00592BF2" w:rsidRPr="00C7200C" w:rsidRDefault="00592BF2" w:rsidP="00592BF2"/>
    <w:p w:rsidR="00592BF2" w:rsidRPr="00AB42E9" w:rsidRDefault="00592BF2" w:rsidP="00592BF2">
      <w:pPr>
        <w:spacing w:after="120"/>
        <w:rPr>
          <w:b/>
          <w:color w:val="FF0000"/>
          <w:szCs w:val="24"/>
        </w:rPr>
      </w:pPr>
      <w:r w:rsidRPr="006423C6">
        <w:rPr>
          <w:b/>
          <w:sz w:val="28"/>
          <w:szCs w:val="28"/>
        </w:rPr>
        <w:t>R</w:t>
      </w:r>
      <w:r w:rsidR="00DC16D4" w:rsidRPr="006423C6">
        <w:rPr>
          <w:b/>
          <w:sz w:val="28"/>
          <w:szCs w:val="28"/>
        </w:rPr>
        <w:t>esultat</w:t>
      </w:r>
      <w:r w:rsidR="00042F4C">
        <w:rPr>
          <w:b/>
          <w:sz w:val="28"/>
          <w:szCs w:val="28"/>
        </w:rPr>
        <w:t>rapport 2011</w:t>
      </w:r>
      <w:r w:rsidR="00AB42E9">
        <w:rPr>
          <w:b/>
          <w:sz w:val="28"/>
          <w:szCs w:val="28"/>
        </w:rPr>
        <w:t xml:space="preserve"> </w:t>
      </w:r>
    </w:p>
    <w:p w:rsidR="00592BF2" w:rsidRPr="00927392" w:rsidRDefault="00592BF2" w:rsidP="00811DC1">
      <w:pPr>
        <w:pStyle w:val="Brdtekst"/>
      </w:pPr>
      <w:r w:rsidRPr="00927392">
        <w:t>Hovedbildet som dokumen</w:t>
      </w:r>
      <w:r w:rsidR="005C4EA5" w:rsidRPr="00927392">
        <w:t xml:space="preserve">tet </w:t>
      </w:r>
      <w:r w:rsidR="004C4849">
        <w:t>ønsker</w:t>
      </w:r>
      <w:r w:rsidR="005C4EA5" w:rsidRPr="00927392">
        <w:t xml:space="preserve"> å formidle</w:t>
      </w:r>
      <w:r w:rsidR="0003203F" w:rsidRPr="00927392">
        <w:t>,</w:t>
      </w:r>
      <w:r w:rsidR="005C4EA5" w:rsidRPr="00927392">
        <w:t xml:space="preserve"> kan summeres i følgende punkter</w:t>
      </w:r>
      <w:r w:rsidRPr="00927392">
        <w:t>:</w:t>
      </w:r>
    </w:p>
    <w:p w:rsidR="00592BF2" w:rsidRDefault="00BD0370" w:rsidP="00592BF2">
      <w:pPr>
        <w:numPr>
          <w:ilvl w:val="0"/>
          <w:numId w:val="3"/>
        </w:numPr>
      </w:pPr>
      <w:r>
        <w:t xml:space="preserve">Oppgaver vi er </w:t>
      </w:r>
      <w:r w:rsidR="00592BF2" w:rsidRPr="00C7200C">
        <w:t xml:space="preserve">pålagt </w:t>
      </w:r>
      <w:r>
        <w:t xml:space="preserve">i </w:t>
      </w:r>
      <w:r w:rsidR="00592BF2" w:rsidRPr="00C7200C">
        <w:t>tildelingsbrevet</w:t>
      </w:r>
      <w:r w:rsidR="0016259D">
        <w:t xml:space="preserve"> for 2011</w:t>
      </w:r>
      <w:r w:rsidR="00592BF2" w:rsidRPr="00C7200C">
        <w:t xml:space="preserve">, er </w:t>
      </w:r>
      <w:r w:rsidR="00336F16">
        <w:t>gjennomført</w:t>
      </w:r>
      <w:r w:rsidR="0065593C" w:rsidRPr="00C7200C">
        <w:t xml:space="preserve"> </w:t>
      </w:r>
      <w:r w:rsidR="00592BF2" w:rsidRPr="00C7200C">
        <w:t>eller er under oppfølging</w:t>
      </w:r>
      <w:r w:rsidR="000C402F" w:rsidRPr="00C7200C">
        <w:t>.</w:t>
      </w:r>
      <w:r w:rsidR="00592BF2" w:rsidRPr="00C7200C">
        <w:t xml:space="preserve"> </w:t>
      </w:r>
    </w:p>
    <w:p w:rsidR="00395DB9" w:rsidRDefault="00395DB9" w:rsidP="00592BF2">
      <w:pPr>
        <w:numPr>
          <w:ilvl w:val="0"/>
          <w:numId w:val="3"/>
        </w:numPr>
      </w:pPr>
      <w:r>
        <w:t>NTNU kan p</w:t>
      </w:r>
      <w:r w:rsidR="0016259D">
        <w:t>eke på mange høydepunkter i 2011</w:t>
      </w:r>
      <w:r>
        <w:t xml:space="preserve"> innen alle målområder.</w:t>
      </w:r>
    </w:p>
    <w:p w:rsidR="00927392" w:rsidRPr="006F32A3" w:rsidRDefault="005C4EA5" w:rsidP="00927392">
      <w:pPr>
        <w:numPr>
          <w:ilvl w:val="0"/>
          <w:numId w:val="3"/>
        </w:numPr>
      </w:pPr>
      <w:r w:rsidRPr="0097550F">
        <w:t>NTNU har igangsatt</w:t>
      </w:r>
      <w:r w:rsidR="0003203F" w:rsidRPr="0097550F">
        <w:t xml:space="preserve"> eller </w:t>
      </w:r>
      <w:r w:rsidR="0016259D" w:rsidRPr="0097550F">
        <w:t>gjennomført flere tiltak i 2011</w:t>
      </w:r>
      <w:r w:rsidRPr="0097550F">
        <w:t xml:space="preserve"> for å redusere </w:t>
      </w:r>
      <w:proofErr w:type="spellStart"/>
      <w:r w:rsidRPr="0097550F">
        <w:t>risik</w:t>
      </w:r>
      <w:r w:rsidR="004C4849" w:rsidRPr="0097550F">
        <w:t>i</w:t>
      </w:r>
      <w:proofErr w:type="spellEnd"/>
      <w:r w:rsidRPr="0097550F">
        <w:t xml:space="preserve"> knyttet til måloppnåelse</w:t>
      </w:r>
      <w:r w:rsidR="0003203F" w:rsidRPr="0097550F">
        <w:t>,</w:t>
      </w:r>
      <w:r w:rsidRPr="0097550F">
        <w:t xml:space="preserve"> og utviklingen er positiv</w:t>
      </w:r>
      <w:r w:rsidR="00255F35" w:rsidRPr="0097550F">
        <w:t>.</w:t>
      </w:r>
      <w:r w:rsidR="00255F35" w:rsidRPr="00420164">
        <w:rPr>
          <w:color w:val="FF0000"/>
        </w:rPr>
        <w:t xml:space="preserve"> </w:t>
      </w:r>
      <w:r w:rsidR="00255F35" w:rsidRPr="006F32A3">
        <w:t>Arbeidet for å øke kapasiteten og kvaliteten i proses</w:t>
      </w:r>
      <w:r w:rsidR="008C52B2" w:rsidRPr="006F32A3">
        <w:t>ser</w:t>
      </w:r>
      <w:r w:rsidR="00255F35" w:rsidRPr="006F32A3">
        <w:t xml:space="preserve"> og styring av den eksternfinansierte virksomheten, for å bedre infrastruktur til forskning o</w:t>
      </w:r>
      <w:r w:rsidR="00927392" w:rsidRPr="006F32A3">
        <w:t xml:space="preserve">g utdanning </w:t>
      </w:r>
      <w:r w:rsidR="0003203F" w:rsidRPr="006F32A3">
        <w:t xml:space="preserve">må </w:t>
      </w:r>
      <w:r w:rsidR="00420164" w:rsidRPr="006F32A3">
        <w:t>imidlertid videreføres i 2012</w:t>
      </w:r>
      <w:r w:rsidR="00255F35" w:rsidRPr="006F32A3">
        <w:t xml:space="preserve">. </w:t>
      </w:r>
      <w:r w:rsidR="00927392" w:rsidRPr="006F32A3">
        <w:t xml:space="preserve">I tillegg vil NTNU </w:t>
      </w:r>
      <w:r w:rsidR="006F32A3" w:rsidRPr="006F32A3">
        <w:t xml:space="preserve">fortsatt </w:t>
      </w:r>
      <w:r w:rsidR="00927392" w:rsidRPr="006F32A3">
        <w:t xml:space="preserve">følge opp gjennomføring av </w:t>
      </w:r>
      <w:proofErr w:type="spellStart"/>
      <w:r w:rsidR="00927392" w:rsidRPr="006F32A3">
        <w:t>ph.d</w:t>
      </w:r>
      <w:proofErr w:type="spellEnd"/>
      <w:r w:rsidR="00927392" w:rsidRPr="006F32A3">
        <w:t>-utdanningen</w:t>
      </w:r>
      <w:r w:rsidR="00255F35" w:rsidRPr="006F32A3">
        <w:t xml:space="preserve"> i 201</w:t>
      </w:r>
      <w:r w:rsidR="00420164" w:rsidRPr="006F32A3">
        <w:t>2</w:t>
      </w:r>
      <w:r w:rsidR="00927392" w:rsidRPr="006F32A3">
        <w:t>.</w:t>
      </w:r>
    </w:p>
    <w:p w:rsidR="005C4EA5" w:rsidRDefault="005C4EA5" w:rsidP="00592BF2">
      <w:pPr>
        <w:numPr>
          <w:ilvl w:val="0"/>
          <w:numId w:val="3"/>
        </w:numPr>
      </w:pPr>
      <w:r>
        <w:t>NTNU har oppnådd gode resultater knyttet til kvantitative resultatmål</w:t>
      </w:r>
      <w:r w:rsidR="009622A4">
        <w:t>,</w:t>
      </w:r>
      <w:r>
        <w:t xml:space="preserve"> me</w:t>
      </w:r>
      <w:r w:rsidR="00255F35">
        <w:t>n</w:t>
      </w:r>
      <w:r>
        <w:t xml:space="preserve"> har utfordringer på noen områder</w:t>
      </w:r>
      <w:r w:rsidR="0003203F">
        <w:t>.</w:t>
      </w:r>
      <w:r w:rsidR="001A1B79">
        <w:t xml:space="preserve"> (se under for eksempler på resultater).</w:t>
      </w:r>
    </w:p>
    <w:p w:rsidR="00255F35" w:rsidRPr="003F0F39" w:rsidRDefault="00255F35" w:rsidP="00C93C77">
      <w:pPr>
        <w:numPr>
          <w:ilvl w:val="0"/>
          <w:numId w:val="3"/>
        </w:numPr>
      </w:pPr>
      <w:r w:rsidRPr="003F0F39">
        <w:t xml:space="preserve">NTNU kan vise til fremgang på de fleste områder </w:t>
      </w:r>
      <w:r w:rsidR="0003203F" w:rsidRPr="003F0F39">
        <w:t xml:space="preserve">som </w:t>
      </w:r>
      <w:r w:rsidRPr="003F0F39">
        <w:t xml:space="preserve">KD </w:t>
      </w:r>
      <w:r w:rsidR="0003203F" w:rsidRPr="003F0F39">
        <w:t xml:space="preserve">vektlegger </w:t>
      </w:r>
      <w:r w:rsidRPr="003F0F39">
        <w:t xml:space="preserve">(kvalitative parametere), men </w:t>
      </w:r>
      <w:r w:rsidR="0003203F" w:rsidRPr="003F0F39">
        <w:t>institusjonen er ikke i mål på alle</w:t>
      </w:r>
      <w:r w:rsidR="009622A4" w:rsidRPr="003F0F39">
        <w:t>. E</w:t>
      </w:r>
      <w:r w:rsidR="00ED1E74" w:rsidRPr="003F0F39">
        <w:t>ksemp</w:t>
      </w:r>
      <w:r w:rsidR="003F0F39">
        <w:t>ler på utfordringer</w:t>
      </w:r>
      <w:r w:rsidR="00364AF8" w:rsidRPr="003F0F39">
        <w:t xml:space="preserve"> er</w:t>
      </w:r>
      <w:r w:rsidR="004C4849" w:rsidRPr="003F0F39">
        <w:t xml:space="preserve">: </w:t>
      </w:r>
      <w:r w:rsidR="00C80876" w:rsidRPr="003F0F39">
        <w:t xml:space="preserve">utvikling og </w:t>
      </w:r>
      <w:r w:rsidR="00233D5D" w:rsidRPr="003F0F39">
        <w:t xml:space="preserve">bedre </w:t>
      </w:r>
      <w:r w:rsidR="00C80876" w:rsidRPr="003F0F39">
        <w:t>forankring av kvalitetssikrings</w:t>
      </w:r>
      <w:r w:rsidR="001A1B79" w:rsidRPr="003F0F39">
        <w:softHyphen/>
      </w:r>
      <w:r w:rsidR="00C80876" w:rsidRPr="003F0F39">
        <w:t xml:space="preserve">systemet for utdanningsvirksomheten, </w:t>
      </w:r>
      <w:r w:rsidR="0012517B" w:rsidRPr="003F0F39">
        <w:t>klarere ambisjon og identitet for den samlede studieporteføljen, flere felles utdanningsprogrammer med gode</w:t>
      </w:r>
      <w:r w:rsidR="00C80876" w:rsidRPr="003F0F39">
        <w:t xml:space="preserve"> utenlandske universitet, </w:t>
      </w:r>
      <w:r w:rsidR="0003203F" w:rsidRPr="003F0F39">
        <w:t>større</w:t>
      </w:r>
      <w:r w:rsidR="00C80876" w:rsidRPr="003F0F39">
        <w:t xml:space="preserve"> kapasitet </w:t>
      </w:r>
      <w:r w:rsidR="0003203F" w:rsidRPr="003F0F39">
        <w:t>innenfor</w:t>
      </w:r>
      <w:r w:rsidR="00C80876" w:rsidRPr="003F0F39">
        <w:t xml:space="preserve"> forskning for derigjennom å øke antall forskningsmiljøer i fronten internasjonalt</w:t>
      </w:r>
      <w:r w:rsidR="00D21015" w:rsidRPr="003F0F39">
        <w:t xml:space="preserve">, </w:t>
      </w:r>
      <w:r w:rsidR="00233D5D" w:rsidRPr="003F0F39">
        <w:t xml:space="preserve">økt </w:t>
      </w:r>
      <w:r w:rsidR="00D21015" w:rsidRPr="003F0F39">
        <w:t xml:space="preserve">bevissthet rundt </w:t>
      </w:r>
      <w:proofErr w:type="spellStart"/>
      <w:r w:rsidR="00A648ED" w:rsidRPr="003F0F39">
        <w:t>fullfinans</w:t>
      </w:r>
      <w:r w:rsidR="006902A5" w:rsidRPr="003F0F39">
        <w:t>iering</w:t>
      </w:r>
      <w:proofErr w:type="spellEnd"/>
      <w:r w:rsidR="006902A5" w:rsidRPr="003F0F39">
        <w:t xml:space="preserve"> av forskningsprosjekter og</w:t>
      </w:r>
      <w:r w:rsidR="00233D5D" w:rsidRPr="003F0F39">
        <w:t xml:space="preserve"> større</w:t>
      </w:r>
      <w:r w:rsidR="006902A5" w:rsidRPr="003F0F39">
        <w:t xml:space="preserve"> </w:t>
      </w:r>
      <w:r w:rsidR="00ED1E74" w:rsidRPr="003F0F39">
        <w:t xml:space="preserve">innslag av </w:t>
      </w:r>
      <w:proofErr w:type="spellStart"/>
      <w:r w:rsidR="00ED1E74" w:rsidRPr="003F0F39">
        <w:t>entrepenørskap</w:t>
      </w:r>
      <w:proofErr w:type="spellEnd"/>
      <w:r w:rsidR="00ED1E74" w:rsidRPr="003F0F39">
        <w:t xml:space="preserve"> i utdanningen</w:t>
      </w:r>
      <w:r w:rsidR="000A4ACB" w:rsidRPr="003F0F39">
        <w:t>. Videre må</w:t>
      </w:r>
      <w:r w:rsidR="006902A5" w:rsidRPr="003F0F39">
        <w:t xml:space="preserve"> internkontrollen på flere områder systematiseres og</w:t>
      </w:r>
      <w:r w:rsidR="00395DB9" w:rsidRPr="003F0F39">
        <w:t xml:space="preserve"> </w:t>
      </w:r>
      <w:r w:rsidR="006902A5" w:rsidRPr="003F0F39">
        <w:t>utvikles på en mer helhetlig måte.</w:t>
      </w:r>
    </w:p>
    <w:p w:rsidR="00255F35" w:rsidRDefault="00255F35" w:rsidP="00255F35"/>
    <w:p w:rsidR="00FF6A0C" w:rsidRPr="00092E4E" w:rsidRDefault="00395DB9" w:rsidP="00364AF8">
      <w:pPr>
        <w:spacing w:after="120"/>
      </w:pPr>
      <w:r w:rsidRPr="00092E4E">
        <w:t xml:space="preserve">Eksempler på </w:t>
      </w:r>
      <w:r w:rsidR="001A1B79" w:rsidRPr="00092E4E">
        <w:t xml:space="preserve">gode </w:t>
      </w:r>
      <w:r w:rsidRPr="00092E4E">
        <w:t xml:space="preserve">resultater </w:t>
      </w:r>
      <w:r w:rsidR="003F0F39">
        <w:t xml:space="preserve">i 2011 </w:t>
      </w:r>
      <w:r w:rsidR="00336F16" w:rsidRPr="00092E4E">
        <w:t xml:space="preserve">knyttet </w:t>
      </w:r>
      <w:r w:rsidR="00137A3B" w:rsidRPr="00092E4E">
        <w:t xml:space="preserve">de kvantitative </w:t>
      </w:r>
      <w:r w:rsidR="00336F16" w:rsidRPr="00092E4E">
        <w:t xml:space="preserve">indikatorene: </w:t>
      </w:r>
    </w:p>
    <w:p w:rsidR="002C66D4" w:rsidRPr="00C7200C" w:rsidRDefault="002C66D4" w:rsidP="002C66D4">
      <w:pPr>
        <w:numPr>
          <w:ilvl w:val="0"/>
          <w:numId w:val="3"/>
        </w:numPr>
      </w:pPr>
      <w:r>
        <w:t>D</w:t>
      </w:r>
      <w:r w:rsidRPr="00C7200C">
        <w:t>en positive trenden i studentsøknaden til NT</w:t>
      </w:r>
      <w:r w:rsidR="004043D4">
        <w:t>NU fortsetter i 2011</w:t>
      </w:r>
      <w:r w:rsidR="00092E4E">
        <w:t>.</w:t>
      </w:r>
      <w:r w:rsidRPr="00C7200C">
        <w:t xml:space="preserve"> </w:t>
      </w:r>
    </w:p>
    <w:p w:rsidR="002C66D4" w:rsidRDefault="002C66D4" w:rsidP="002C66D4">
      <w:pPr>
        <w:numPr>
          <w:ilvl w:val="0"/>
          <w:numId w:val="3"/>
        </w:numPr>
      </w:pPr>
      <w:r>
        <w:t>De beste studentkandidatene søker seg til NTNU (målt ved snittkarakter).</w:t>
      </w:r>
    </w:p>
    <w:p w:rsidR="002C66D4" w:rsidRDefault="002C66D4" w:rsidP="002C66D4">
      <w:pPr>
        <w:numPr>
          <w:ilvl w:val="0"/>
          <w:numId w:val="3"/>
        </w:numPr>
      </w:pPr>
      <w:r>
        <w:t>Studiepoengproduksj</w:t>
      </w:r>
      <w:r w:rsidR="004043D4">
        <w:t>onen per student har økt med 0,5</w:t>
      </w:r>
      <w:r w:rsidR="00092E4E">
        <w:t xml:space="preserve"> </w:t>
      </w:r>
      <w:r>
        <w:t>poeng i snitt</w:t>
      </w:r>
      <w:r w:rsidR="003E2F88">
        <w:t xml:space="preserve"> </w:t>
      </w:r>
    </w:p>
    <w:p w:rsidR="003E2F88" w:rsidRDefault="002F798B" w:rsidP="002C66D4">
      <w:pPr>
        <w:numPr>
          <w:ilvl w:val="0"/>
          <w:numId w:val="3"/>
        </w:numPr>
      </w:pPr>
      <w:r>
        <w:t>Gjennomføringsgraden</w:t>
      </w:r>
      <w:r w:rsidR="004043D4">
        <w:t xml:space="preserve"> </w:t>
      </w:r>
      <w:r w:rsidR="003E2F88">
        <w:t>i forhold til avtalte utdanningsplan</w:t>
      </w:r>
      <w:r w:rsidR="004043D4">
        <w:t>er er opprettholdt fra 2010 til 2011.</w:t>
      </w:r>
    </w:p>
    <w:p w:rsidR="002F798B" w:rsidRDefault="002F798B" w:rsidP="002C66D4">
      <w:pPr>
        <w:numPr>
          <w:ilvl w:val="0"/>
          <w:numId w:val="3"/>
        </w:numPr>
      </w:pPr>
      <w:r>
        <w:t>Det har vært en svært positiv utvikling i antall uteksaminerte kandidater på masternivå; både på 2-årige og på 5-årige program</w:t>
      </w:r>
    </w:p>
    <w:p w:rsidR="003E2F88" w:rsidRDefault="003E2F88" w:rsidP="002C66D4">
      <w:pPr>
        <w:numPr>
          <w:ilvl w:val="0"/>
          <w:numId w:val="3"/>
        </w:numPr>
      </w:pPr>
      <w:r>
        <w:t>I tråd med NTNUs strategi har d</w:t>
      </w:r>
      <w:r w:rsidR="004043D4">
        <w:t xml:space="preserve">et vært en økning i antall </w:t>
      </w:r>
      <w:r>
        <w:t>innreisen</w:t>
      </w:r>
      <w:r w:rsidR="004043D4">
        <w:t>de utvekslingsstudenter fra 2010 til 2011</w:t>
      </w:r>
      <w:r>
        <w:t>.</w:t>
      </w:r>
    </w:p>
    <w:p w:rsidR="006A43FE" w:rsidRDefault="007B437E" w:rsidP="00395DB9">
      <w:pPr>
        <w:numPr>
          <w:ilvl w:val="0"/>
          <w:numId w:val="3"/>
        </w:numPr>
      </w:pPr>
      <w:r>
        <w:t>D</w:t>
      </w:r>
      <w:r w:rsidR="0027203F" w:rsidRPr="00C7200C">
        <w:t xml:space="preserve">e totale </w:t>
      </w:r>
      <w:r w:rsidR="006A43FE" w:rsidRPr="00C7200C">
        <w:t>inntektene</w:t>
      </w:r>
      <w:r w:rsidR="00336F16">
        <w:t xml:space="preserve"> og aktiviteten</w:t>
      </w:r>
      <w:r w:rsidR="006A43FE" w:rsidRPr="00C7200C">
        <w:t xml:space="preserve"> for bidrags- og oppdragsfinansiert aktivitet ved NTNU </w:t>
      </w:r>
      <w:r w:rsidR="005F215B">
        <w:t>har økt</w:t>
      </w:r>
      <w:r w:rsidR="004043D4">
        <w:t xml:space="preserve"> </w:t>
      </w:r>
      <w:r w:rsidR="002F798B">
        <w:t xml:space="preserve">med 5,6 % fra 1 300 </w:t>
      </w:r>
      <w:proofErr w:type="spellStart"/>
      <w:r w:rsidR="002F798B">
        <w:t>mill</w:t>
      </w:r>
      <w:proofErr w:type="spellEnd"/>
      <w:r w:rsidR="002F798B">
        <w:t xml:space="preserve"> kr 2010 til 1 373 </w:t>
      </w:r>
      <w:proofErr w:type="spellStart"/>
      <w:r w:rsidR="002F798B">
        <w:t>mill</w:t>
      </w:r>
      <w:proofErr w:type="spellEnd"/>
      <w:r w:rsidR="002F798B">
        <w:t xml:space="preserve"> kr 2011.</w:t>
      </w:r>
    </w:p>
    <w:p w:rsidR="00D440E5" w:rsidRDefault="002F798B" w:rsidP="00395DB9">
      <w:pPr>
        <w:numPr>
          <w:ilvl w:val="0"/>
          <w:numId w:val="3"/>
        </w:numPr>
      </w:pPr>
      <w:r>
        <w:t>De</w:t>
      </w:r>
      <w:r w:rsidR="004043D4">
        <w:t xml:space="preserve">t har vært en </w:t>
      </w:r>
      <w:r w:rsidR="00D440E5">
        <w:t xml:space="preserve">betydelig </w:t>
      </w:r>
      <w:r w:rsidR="004043D4">
        <w:t>økning i ute</w:t>
      </w:r>
      <w:r w:rsidR="00D440E5">
        <w:t>ksaminerte doktorgradskandidater fra 260 i 2010 til 335 i 2011.</w:t>
      </w:r>
    </w:p>
    <w:p w:rsidR="00F4729D" w:rsidRDefault="00B65002" w:rsidP="00395DB9">
      <w:pPr>
        <w:numPr>
          <w:ilvl w:val="0"/>
          <w:numId w:val="3"/>
        </w:numPr>
      </w:pPr>
      <w:r w:rsidRPr="00137A3B">
        <w:lastRenderedPageBreak/>
        <w:t xml:space="preserve">NTNU har hatt betydelig </w:t>
      </w:r>
      <w:r w:rsidR="00336F16" w:rsidRPr="00137A3B">
        <w:t xml:space="preserve">oppmerksomhet på internasjonalisering og </w:t>
      </w:r>
      <w:r w:rsidRPr="00137A3B">
        <w:t>EU-finansiert forskning</w:t>
      </w:r>
      <w:r w:rsidR="00BF559A">
        <w:t xml:space="preserve"> </w:t>
      </w:r>
      <w:r w:rsidR="00364AF8">
        <w:t xml:space="preserve">Det har resultert i at deltakelsen </w:t>
      </w:r>
      <w:r w:rsidR="00BF559A">
        <w:t>i EU-f</w:t>
      </w:r>
      <w:r w:rsidR="00233D5D">
        <w:t>inansierte forskningsprosjekter</w:t>
      </w:r>
      <w:r w:rsidR="00364AF8">
        <w:t xml:space="preserve"> har økt </w:t>
      </w:r>
      <w:r w:rsidR="00364AF8" w:rsidRPr="00147359">
        <w:t>fra 35 i 2</w:t>
      </w:r>
      <w:r w:rsidR="002F798B" w:rsidRPr="00147359">
        <w:t xml:space="preserve">009 til 60 ved utløpet av 2010 </w:t>
      </w:r>
      <w:r w:rsidR="00147359" w:rsidRPr="00147359">
        <w:t>til 73 ved årsskiftet 2011/2012</w:t>
      </w:r>
      <w:r w:rsidR="00BF559A" w:rsidRPr="00147359">
        <w:t xml:space="preserve">. </w:t>
      </w:r>
      <w:r w:rsidR="00364AF8" w:rsidRPr="00147359">
        <w:t>Inntekt</w:t>
      </w:r>
      <w:r w:rsidR="00D440E5" w:rsidRPr="00147359">
        <w:t>ene fra EU-forskning økte fra</w:t>
      </w:r>
      <w:r w:rsidR="00D440E5">
        <w:t xml:space="preserve"> 45 mill.kr i 2010</w:t>
      </w:r>
      <w:r w:rsidR="00364AF8">
        <w:t xml:space="preserve"> til </w:t>
      </w:r>
      <w:r w:rsidR="00D440E5">
        <w:t>48 mill.kr i 2011</w:t>
      </w:r>
      <w:r w:rsidR="00364AF8">
        <w:t>.</w:t>
      </w:r>
      <w:r w:rsidR="00D440E5">
        <w:t xml:space="preserve"> </w:t>
      </w:r>
      <w:r w:rsidR="00147359">
        <w:t xml:space="preserve">Dette utgjør 7 % vekst, noe som er vesentlig lavere enn målet på 20 %. </w:t>
      </w:r>
      <w:r w:rsidR="006102EE">
        <w:t>A</w:t>
      </w:r>
      <w:r w:rsidR="00137A3B" w:rsidRPr="00137A3B">
        <w:t xml:space="preserve">rbeidet med å </w:t>
      </w:r>
      <w:r w:rsidR="00D031F2">
        <w:t>øke motivasjon for, kapasitet og kvalitet i prosessen fra søknad til gjennom</w:t>
      </w:r>
      <w:r w:rsidR="00D031F2">
        <w:softHyphen/>
        <w:t xml:space="preserve">føring, samt langsiktig posisjonering og nettverksbygging </w:t>
      </w:r>
      <w:r w:rsidR="00137A3B" w:rsidRPr="00137A3B">
        <w:t>f</w:t>
      </w:r>
      <w:r w:rsidR="00147359">
        <w:t>ortsetter med full tyngde i 2012</w:t>
      </w:r>
      <w:r w:rsidR="00137A3B" w:rsidRPr="00137A3B">
        <w:t xml:space="preserve">.  </w:t>
      </w:r>
    </w:p>
    <w:p w:rsidR="00147359" w:rsidRPr="00137A3B" w:rsidRDefault="00147359" w:rsidP="00147359">
      <w:pPr>
        <w:numPr>
          <w:ilvl w:val="0"/>
          <w:numId w:val="3"/>
        </w:numPr>
      </w:pPr>
      <w:r w:rsidRPr="00147359">
        <w:t>Omfanget av den allmennrett</w:t>
      </w:r>
      <w:r>
        <w:t>ede formidlingen er økt fra 2010 til 2011</w:t>
      </w:r>
      <w:r w:rsidRPr="00147359">
        <w:t xml:space="preserve">, </w:t>
      </w:r>
      <w:r>
        <w:t>mens den brukerrettede formidling er omtrent på samme nivå som 2010.</w:t>
      </w:r>
    </w:p>
    <w:p w:rsidR="00137A3B" w:rsidRDefault="00146498" w:rsidP="00395DB9">
      <w:pPr>
        <w:numPr>
          <w:ilvl w:val="0"/>
          <w:numId w:val="3"/>
        </w:numPr>
      </w:pPr>
      <w:r>
        <w:t>Antal</w:t>
      </w:r>
      <w:r w:rsidR="00D440E5">
        <w:t>l nyopprettede selskaper økte ble doblet; fra 5 i 2010 til 10 i 2011.</w:t>
      </w:r>
    </w:p>
    <w:p w:rsidR="007F18A9" w:rsidRDefault="007F18A9" w:rsidP="00395DB9">
      <w:pPr>
        <w:numPr>
          <w:ilvl w:val="0"/>
          <w:numId w:val="3"/>
        </w:numPr>
      </w:pPr>
      <w:r>
        <w:t>Andelene av samlingene/objektene på Vitenskapsmuseet som er tilfredsstillende sikret og bevart har økt fra 2010 til 2011.</w:t>
      </w:r>
    </w:p>
    <w:p w:rsidR="002C66D4" w:rsidRDefault="002C66D4" w:rsidP="002C66D4">
      <w:pPr>
        <w:numPr>
          <w:ilvl w:val="0"/>
          <w:numId w:val="3"/>
        </w:numPr>
      </w:pPr>
      <w:r w:rsidRPr="00DA4306">
        <w:t>Resultat for vitenskapelig publise</w:t>
      </w:r>
      <w:r w:rsidR="00D440E5">
        <w:t>ring foreligger ikke før 30.mars.</w:t>
      </w:r>
    </w:p>
    <w:p w:rsidR="002C66D4" w:rsidRDefault="002C66D4" w:rsidP="004573F2"/>
    <w:p w:rsidR="00395DB9" w:rsidRDefault="00395DB9" w:rsidP="00395DB9">
      <w:pPr>
        <w:ind w:left="360"/>
      </w:pPr>
    </w:p>
    <w:p w:rsidR="001A1B79" w:rsidRDefault="001A1B79" w:rsidP="00364AF8">
      <w:pPr>
        <w:spacing w:after="120"/>
      </w:pPr>
      <w:r>
        <w:t>Eksempler på resultatmål knyttet til de kvantitative indikatorer som</w:t>
      </w:r>
      <w:r w:rsidR="004573F2">
        <w:t xml:space="preserve"> ikke ble nådd i 2011</w:t>
      </w:r>
      <w:r>
        <w:t xml:space="preserve">: </w:t>
      </w:r>
    </w:p>
    <w:p w:rsidR="004043D4" w:rsidRDefault="004573F2" w:rsidP="004573F2">
      <w:pPr>
        <w:numPr>
          <w:ilvl w:val="0"/>
          <w:numId w:val="17"/>
        </w:numPr>
      </w:pPr>
      <w:r>
        <w:t>Det vært en reduksjon i antall ut</w:t>
      </w:r>
      <w:r w:rsidR="007F18A9" w:rsidRPr="007F18A9">
        <w:t>reisende utvekslingsstudenter fra 2010 til 2011.</w:t>
      </w:r>
      <w:r>
        <w:t xml:space="preserve"> Vi</w:t>
      </w:r>
      <w:r w:rsidRPr="004573F2">
        <w:t xml:space="preserve"> </w:t>
      </w:r>
      <w:r>
        <w:t>vil fortsette vårt</w:t>
      </w:r>
      <w:r w:rsidRPr="004573F2">
        <w:t xml:space="preserve"> interne informasjonsarbeid</w:t>
      </w:r>
      <w:r>
        <w:t xml:space="preserve"> for å kunne øke utreiseandelen.</w:t>
      </w:r>
    </w:p>
    <w:p w:rsidR="004573F2" w:rsidRDefault="004573F2" w:rsidP="004573F2">
      <w:pPr>
        <w:numPr>
          <w:ilvl w:val="0"/>
          <w:numId w:val="17"/>
        </w:numPr>
      </w:pPr>
      <w:r>
        <w:t>Antall studietilbud i samarbeid med utenlandske institusjoner gikk ned fra 2010 til 2011. To studietilbud ble lagt ned (avsluttet) i 2011. Det er inngått nye avtaler som trer i kraft i 2012.</w:t>
      </w:r>
    </w:p>
    <w:p w:rsidR="004573F2" w:rsidRDefault="004573F2" w:rsidP="004573F2">
      <w:pPr>
        <w:numPr>
          <w:ilvl w:val="0"/>
          <w:numId w:val="17"/>
        </w:numPr>
      </w:pPr>
      <w:r>
        <w:t>Forskningsrådets tildeling per undervisnings-forskning og formidlingsstilling er redusert fra 2010 til 2011, og er under målet som ble satt for 2011.</w:t>
      </w:r>
    </w:p>
    <w:p w:rsidR="00482922" w:rsidRDefault="00147359" w:rsidP="00415D6E">
      <w:pPr>
        <w:numPr>
          <w:ilvl w:val="0"/>
          <w:numId w:val="3"/>
        </w:numPr>
      </w:pPr>
      <w:r w:rsidRPr="00147359">
        <w:t>Antall mottatte forretningsideer ble klart lavere enn det som var satt som resultatmål</w:t>
      </w:r>
      <w:r w:rsidR="00482922">
        <w:t xml:space="preserve"> i 2011 og lavere enn 2010</w:t>
      </w:r>
      <w:r w:rsidRPr="00147359">
        <w:t xml:space="preserve">, og skyldes i hovedsak to forhold. For det første tok det lengre tid enn forventet å få på plass samarbeidet med </w:t>
      </w:r>
      <w:proofErr w:type="spellStart"/>
      <w:r w:rsidRPr="00147359">
        <w:t>HiST</w:t>
      </w:r>
      <w:proofErr w:type="spellEnd"/>
      <w:r w:rsidRPr="00147359">
        <w:t xml:space="preserve"> om innmelding av ideer. For det andre har TTO i 2011 prioritert arbeidet med allerede innmeldte ideer, for på den måten å øke antall kommersialiseringer (bedriftsetableringer og lisensavtaler). </w:t>
      </w:r>
    </w:p>
    <w:p w:rsidR="00BE63CD" w:rsidRDefault="00105F75" w:rsidP="00AF7DC6">
      <w:pPr>
        <w:numPr>
          <w:ilvl w:val="0"/>
          <w:numId w:val="3"/>
        </w:numPr>
      </w:pPr>
      <w:r>
        <w:t>M</w:t>
      </w:r>
      <w:r w:rsidR="00137A3B">
        <w:t>ål</w:t>
      </w:r>
      <w:r w:rsidR="004023DC">
        <w:t>et om at kvinner i 2011</w:t>
      </w:r>
      <w:r>
        <w:t xml:space="preserve"> skulle utgjøre </w:t>
      </w:r>
      <w:r w:rsidR="004023DC">
        <w:t>40</w:t>
      </w:r>
      <w:r w:rsidR="00137A3B">
        <w:t xml:space="preserve"> % av de nytilsatte i vitenskapelige stillinger</w:t>
      </w:r>
      <w:r w:rsidR="005A32E9">
        <w:t xml:space="preserve"> ble ikke nådd</w:t>
      </w:r>
      <w:r w:rsidR="00137A3B">
        <w:t xml:space="preserve">. Resultatet ble </w:t>
      </w:r>
      <w:r w:rsidR="004023DC">
        <w:t>31</w:t>
      </w:r>
      <w:r w:rsidR="00137A3B">
        <w:t xml:space="preserve"> %</w:t>
      </w:r>
      <w:r w:rsidR="005A32E9">
        <w:t xml:space="preserve">, som </w:t>
      </w:r>
      <w:r w:rsidR="005F215B">
        <w:t>e</w:t>
      </w:r>
      <w:r w:rsidR="004023DC">
        <w:t>r noe høyere enn 2010 (29 %)</w:t>
      </w:r>
      <w:r w:rsidR="00AF7DC6">
        <w:t xml:space="preserve">. </w:t>
      </w:r>
      <w:r w:rsidR="00AF7DC6" w:rsidRPr="00AF7DC6">
        <w:t xml:space="preserve">Statistikken gjenspeiler positiv utvikling for likestillingsarbeidet, spesielt for professorater, med dobling de siste 10 årene. Tall fra 2010 til 2011 viser liten økning i professorstillinger, mens økningen er høyere i førsteamanuensisstillinger. Tallene for postdoktor-stillinger viser liten nedgang, mens kvinneandelen blant stipendiatene har økt.  </w:t>
      </w:r>
    </w:p>
    <w:p w:rsidR="00BE63CD" w:rsidRDefault="00BE63CD" w:rsidP="00415D6E">
      <w:pPr>
        <w:ind w:left="360"/>
      </w:pPr>
    </w:p>
    <w:p w:rsidR="009622A4" w:rsidRDefault="009622A4" w:rsidP="00592BF2">
      <w:pPr>
        <w:rPr>
          <w:b/>
        </w:rPr>
      </w:pPr>
    </w:p>
    <w:p w:rsidR="00AB42E9" w:rsidRDefault="009622A4" w:rsidP="00592BF2">
      <w:pPr>
        <w:rPr>
          <w:b/>
          <w:sz w:val="28"/>
          <w:szCs w:val="28"/>
        </w:rPr>
      </w:pPr>
      <w:proofErr w:type="spellStart"/>
      <w:r w:rsidRPr="006423C6">
        <w:rPr>
          <w:b/>
          <w:sz w:val="28"/>
          <w:szCs w:val="28"/>
        </w:rPr>
        <w:t>Tilleggsbestilli</w:t>
      </w:r>
      <w:r w:rsidR="007D5868">
        <w:rPr>
          <w:b/>
          <w:sz w:val="28"/>
          <w:szCs w:val="28"/>
        </w:rPr>
        <w:t>n</w:t>
      </w:r>
      <w:r w:rsidRPr="006423C6">
        <w:rPr>
          <w:b/>
          <w:sz w:val="28"/>
          <w:szCs w:val="28"/>
        </w:rPr>
        <w:t>ger</w:t>
      </w:r>
      <w:proofErr w:type="spellEnd"/>
      <w:r w:rsidRPr="006423C6">
        <w:rPr>
          <w:b/>
          <w:sz w:val="28"/>
          <w:szCs w:val="28"/>
        </w:rPr>
        <w:t xml:space="preserve"> fra K</w:t>
      </w:r>
      <w:r w:rsidR="006028A0">
        <w:rPr>
          <w:b/>
          <w:sz w:val="28"/>
          <w:szCs w:val="28"/>
        </w:rPr>
        <w:t>unnskapsdepartementet (KD)</w:t>
      </w:r>
    </w:p>
    <w:p w:rsidR="00AB42E9" w:rsidRDefault="008104E9" w:rsidP="00592BF2">
      <w:pPr>
        <w:rPr>
          <w:szCs w:val="24"/>
        </w:rPr>
      </w:pPr>
      <w:r>
        <w:rPr>
          <w:szCs w:val="24"/>
        </w:rPr>
        <w:t>Tildelingsbrevet for 2012</w:t>
      </w:r>
      <w:r w:rsidR="00832A8B">
        <w:rPr>
          <w:szCs w:val="24"/>
        </w:rPr>
        <w:t xml:space="preserve"> fra KD inn</w:t>
      </w:r>
      <w:r w:rsidR="005A7769">
        <w:rPr>
          <w:szCs w:val="24"/>
        </w:rPr>
        <w:t>e</w:t>
      </w:r>
      <w:r w:rsidR="00832A8B">
        <w:rPr>
          <w:szCs w:val="24"/>
        </w:rPr>
        <w:t>holder følgen</w:t>
      </w:r>
      <w:r>
        <w:rPr>
          <w:szCs w:val="24"/>
        </w:rPr>
        <w:t xml:space="preserve">de </w:t>
      </w:r>
      <w:proofErr w:type="spellStart"/>
      <w:r>
        <w:rPr>
          <w:szCs w:val="24"/>
        </w:rPr>
        <w:t>tilleggsbestillinger</w:t>
      </w:r>
      <w:proofErr w:type="spellEnd"/>
      <w:r>
        <w:rPr>
          <w:szCs w:val="24"/>
        </w:rPr>
        <w:t xml:space="preserve"> for 2011</w:t>
      </w:r>
      <w:r w:rsidR="00832A8B">
        <w:rPr>
          <w:szCs w:val="24"/>
        </w:rPr>
        <w:t>:</w:t>
      </w:r>
    </w:p>
    <w:p w:rsidR="006028A0" w:rsidRDefault="006028A0" w:rsidP="00592BF2">
      <w:pPr>
        <w:rPr>
          <w:szCs w:val="24"/>
        </w:rPr>
      </w:pPr>
    </w:p>
    <w:p w:rsidR="006028A0" w:rsidRPr="006028A0" w:rsidRDefault="006028A0" w:rsidP="006028A0">
      <w:pPr>
        <w:autoSpaceDE w:val="0"/>
        <w:autoSpaceDN w:val="0"/>
        <w:adjustRightInd w:val="0"/>
        <w:rPr>
          <w:b/>
          <w:bCs/>
          <w:i/>
          <w:szCs w:val="24"/>
        </w:rPr>
      </w:pPr>
      <w:r w:rsidRPr="006028A0">
        <w:rPr>
          <w:b/>
          <w:bCs/>
          <w:i/>
          <w:szCs w:val="24"/>
        </w:rPr>
        <w:t>Oppfølging etter etatsstyringsmøtet i 2011</w:t>
      </w:r>
    </w:p>
    <w:p w:rsidR="006028A0" w:rsidRPr="0097550F" w:rsidRDefault="006028A0" w:rsidP="006028A0">
      <w:pPr>
        <w:autoSpaceDE w:val="0"/>
        <w:autoSpaceDN w:val="0"/>
        <w:adjustRightInd w:val="0"/>
        <w:rPr>
          <w:szCs w:val="24"/>
        </w:rPr>
      </w:pPr>
      <w:r>
        <w:rPr>
          <w:szCs w:val="24"/>
        </w:rPr>
        <w:t>I etatsstyringsmøtene i 2011 oppsummerte KD sine forventninger og krav i eget brev "Tilbak</w:t>
      </w:r>
      <w:r w:rsidR="00B57414">
        <w:rPr>
          <w:szCs w:val="24"/>
        </w:rPr>
        <w:t xml:space="preserve">emeldinger til institusjonen". </w:t>
      </w:r>
      <w:r>
        <w:rPr>
          <w:szCs w:val="24"/>
        </w:rPr>
        <w:t xml:space="preserve">Departementet forventer at styrets oppfølging av departementets tilbakemeldinger omtales i institusjonens </w:t>
      </w:r>
      <w:r>
        <w:rPr>
          <w:i/>
          <w:iCs/>
          <w:szCs w:val="24"/>
        </w:rPr>
        <w:t>Rapport og planer 2011-2012.</w:t>
      </w:r>
      <w:r w:rsidR="0097550F">
        <w:rPr>
          <w:i/>
          <w:iCs/>
          <w:szCs w:val="24"/>
        </w:rPr>
        <w:t xml:space="preserve"> </w:t>
      </w:r>
      <w:r w:rsidR="0097550F" w:rsidRPr="0097550F">
        <w:rPr>
          <w:iCs/>
          <w:szCs w:val="24"/>
        </w:rPr>
        <w:t>Omtale av</w:t>
      </w:r>
      <w:r w:rsidR="0097550F">
        <w:rPr>
          <w:i/>
          <w:iCs/>
          <w:szCs w:val="24"/>
        </w:rPr>
        <w:t xml:space="preserve"> </w:t>
      </w:r>
      <w:r w:rsidR="0097550F">
        <w:rPr>
          <w:iCs/>
          <w:szCs w:val="24"/>
        </w:rPr>
        <w:t>oppfølgingen av disse punktene er ivaretatt i ulike deler av dokumentet.</w:t>
      </w:r>
    </w:p>
    <w:p w:rsidR="009622A4" w:rsidRDefault="009622A4" w:rsidP="00592BF2">
      <w:pPr>
        <w:rPr>
          <w:b/>
        </w:rPr>
      </w:pPr>
    </w:p>
    <w:p w:rsidR="006028A0" w:rsidRPr="006028A0" w:rsidRDefault="006028A0" w:rsidP="006028A0">
      <w:pPr>
        <w:autoSpaceDE w:val="0"/>
        <w:autoSpaceDN w:val="0"/>
        <w:adjustRightInd w:val="0"/>
        <w:rPr>
          <w:b/>
          <w:i/>
          <w:szCs w:val="24"/>
        </w:rPr>
      </w:pPr>
      <w:r w:rsidRPr="006028A0">
        <w:rPr>
          <w:b/>
          <w:i/>
          <w:szCs w:val="24"/>
        </w:rPr>
        <w:t>Egne virksomhetsmål og styringsparamet</w:t>
      </w:r>
      <w:r w:rsidR="00B57414">
        <w:rPr>
          <w:b/>
          <w:i/>
          <w:szCs w:val="24"/>
        </w:rPr>
        <w:t>e</w:t>
      </w:r>
      <w:r w:rsidRPr="006028A0">
        <w:rPr>
          <w:b/>
          <w:i/>
          <w:szCs w:val="24"/>
        </w:rPr>
        <w:t>re for 2012</w:t>
      </w:r>
    </w:p>
    <w:p w:rsidR="000A0488" w:rsidRDefault="006028A0" w:rsidP="006028A0">
      <w:pPr>
        <w:autoSpaceDE w:val="0"/>
        <w:autoSpaceDN w:val="0"/>
        <w:adjustRightInd w:val="0"/>
        <w:rPr>
          <w:szCs w:val="24"/>
        </w:rPr>
      </w:pPr>
      <w:r>
        <w:rPr>
          <w:szCs w:val="24"/>
        </w:rPr>
        <w:t>Institusjonens rapportering av planer 2012 til departementet skal også inneholde institusjonens egne virksomhetsmål og styringsparametere. Det skal angis ambisjonsnivå i henhold til institusjonens strategier og mål.  Institusjonens risikovurderinger skal reflekteres i planene og integreres i disse.</w:t>
      </w:r>
    </w:p>
    <w:p w:rsidR="00B57414" w:rsidRDefault="004D5817" w:rsidP="006028A0">
      <w:pPr>
        <w:autoSpaceDE w:val="0"/>
        <w:autoSpaceDN w:val="0"/>
        <w:adjustRightInd w:val="0"/>
        <w:rPr>
          <w:szCs w:val="24"/>
        </w:rPr>
      </w:pPr>
      <w:r>
        <w:rPr>
          <w:szCs w:val="24"/>
        </w:rPr>
        <w:t>Se omtale under i avsnittet: Planer for 2012.</w:t>
      </w:r>
    </w:p>
    <w:p w:rsidR="006028A0" w:rsidRDefault="006028A0" w:rsidP="006028A0">
      <w:pPr>
        <w:autoSpaceDE w:val="0"/>
        <w:autoSpaceDN w:val="0"/>
        <w:adjustRightInd w:val="0"/>
        <w:rPr>
          <w:szCs w:val="24"/>
        </w:rPr>
      </w:pPr>
    </w:p>
    <w:p w:rsidR="006028A0" w:rsidRPr="006028A0" w:rsidRDefault="006028A0" w:rsidP="006028A0">
      <w:pPr>
        <w:autoSpaceDE w:val="0"/>
        <w:autoSpaceDN w:val="0"/>
        <w:adjustRightInd w:val="0"/>
        <w:rPr>
          <w:b/>
          <w:i/>
          <w:szCs w:val="24"/>
        </w:rPr>
      </w:pPr>
      <w:r w:rsidRPr="006028A0">
        <w:rPr>
          <w:b/>
          <w:i/>
          <w:szCs w:val="24"/>
        </w:rPr>
        <w:t>Rapportering på aktivitetskrav</w:t>
      </w:r>
    </w:p>
    <w:p w:rsidR="006028A0" w:rsidRDefault="00B57414" w:rsidP="00B57414">
      <w:pPr>
        <w:autoSpaceDE w:val="0"/>
        <w:autoSpaceDN w:val="0"/>
        <w:adjustRightInd w:val="0"/>
        <w:rPr>
          <w:szCs w:val="24"/>
        </w:rPr>
      </w:pPr>
      <w:r>
        <w:rPr>
          <w:szCs w:val="24"/>
        </w:rPr>
        <w:t xml:space="preserve">De </w:t>
      </w:r>
      <w:r w:rsidR="006028A0">
        <w:rPr>
          <w:szCs w:val="24"/>
        </w:rPr>
        <w:t>aktivitets</w:t>
      </w:r>
      <w:r>
        <w:rPr>
          <w:szCs w:val="24"/>
        </w:rPr>
        <w:t>krav for enkelte utdanninger som er redegjort for i Tildelingsbrevet for 2011 bes det om rapportering på</w:t>
      </w:r>
      <w:r w:rsidR="006028A0">
        <w:rPr>
          <w:szCs w:val="24"/>
        </w:rPr>
        <w:t xml:space="preserve"> i </w:t>
      </w:r>
      <w:r w:rsidR="006028A0" w:rsidRPr="00B57414">
        <w:rPr>
          <w:i/>
          <w:iCs/>
          <w:szCs w:val="24"/>
        </w:rPr>
        <w:t>Rapport og</w:t>
      </w:r>
      <w:r w:rsidRPr="00B57414">
        <w:rPr>
          <w:i/>
          <w:iCs/>
          <w:szCs w:val="24"/>
        </w:rPr>
        <w:t xml:space="preserve"> </w:t>
      </w:r>
      <w:r w:rsidR="006028A0" w:rsidRPr="00B57414">
        <w:rPr>
          <w:i/>
          <w:iCs/>
          <w:szCs w:val="24"/>
        </w:rPr>
        <w:t>planer 2011-2012</w:t>
      </w:r>
      <w:r w:rsidR="006028A0">
        <w:rPr>
          <w:i/>
          <w:iCs/>
          <w:sz w:val="26"/>
          <w:szCs w:val="26"/>
        </w:rPr>
        <w:t xml:space="preserve"> </w:t>
      </w:r>
      <w:proofErr w:type="spellStart"/>
      <w:r>
        <w:rPr>
          <w:szCs w:val="24"/>
        </w:rPr>
        <w:t>mht</w:t>
      </w:r>
      <w:proofErr w:type="spellEnd"/>
      <w:r>
        <w:rPr>
          <w:szCs w:val="24"/>
        </w:rPr>
        <w:t xml:space="preserve"> om</w:t>
      </w:r>
      <w:r w:rsidR="0097550F">
        <w:rPr>
          <w:szCs w:val="24"/>
        </w:rPr>
        <w:t xml:space="preserve"> de </w:t>
      </w:r>
      <w:r w:rsidR="006028A0">
        <w:rPr>
          <w:szCs w:val="24"/>
        </w:rPr>
        <w:t xml:space="preserve">nevnte </w:t>
      </w:r>
      <w:r w:rsidR="0097550F">
        <w:rPr>
          <w:szCs w:val="24"/>
        </w:rPr>
        <w:t xml:space="preserve">aktivitetskrav </w:t>
      </w:r>
      <w:r w:rsidR="006028A0">
        <w:rPr>
          <w:szCs w:val="24"/>
        </w:rPr>
        <w:t xml:space="preserve">er oppnådd. </w:t>
      </w:r>
      <w:r>
        <w:rPr>
          <w:szCs w:val="24"/>
        </w:rPr>
        <w:t xml:space="preserve"> Institusjonene bes også å rapportere </w:t>
      </w:r>
      <w:r w:rsidR="006028A0">
        <w:rPr>
          <w:szCs w:val="24"/>
        </w:rPr>
        <w:t xml:space="preserve">om opptaksnivået er videreført på nevnte utdanninger. </w:t>
      </w:r>
    </w:p>
    <w:p w:rsidR="00B57414" w:rsidRDefault="0097550F" w:rsidP="00B57414">
      <w:pPr>
        <w:autoSpaceDE w:val="0"/>
        <w:autoSpaceDN w:val="0"/>
        <w:adjustRightInd w:val="0"/>
        <w:rPr>
          <w:szCs w:val="24"/>
        </w:rPr>
      </w:pPr>
      <w:r>
        <w:rPr>
          <w:szCs w:val="24"/>
        </w:rPr>
        <w:t xml:space="preserve">Det er redegjort for dette i </w:t>
      </w:r>
      <w:r w:rsidR="00B57414">
        <w:rPr>
          <w:szCs w:val="24"/>
        </w:rPr>
        <w:t xml:space="preserve">kapittel </w:t>
      </w:r>
      <w:r>
        <w:rPr>
          <w:szCs w:val="24"/>
        </w:rPr>
        <w:t>3.1.2.</w:t>
      </w:r>
    </w:p>
    <w:p w:rsidR="009622A4" w:rsidRDefault="009622A4" w:rsidP="00592BF2">
      <w:pPr>
        <w:spacing w:after="120"/>
        <w:rPr>
          <w:b/>
        </w:rPr>
      </w:pPr>
    </w:p>
    <w:p w:rsidR="00592BF2" w:rsidRPr="006423C6" w:rsidRDefault="00592BF2" w:rsidP="00592BF2">
      <w:pPr>
        <w:spacing w:after="120"/>
        <w:rPr>
          <w:b/>
          <w:sz w:val="28"/>
          <w:szCs w:val="28"/>
        </w:rPr>
      </w:pPr>
      <w:r w:rsidRPr="006423C6">
        <w:rPr>
          <w:b/>
          <w:sz w:val="28"/>
          <w:szCs w:val="28"/>
        </w:rPr>
        <w:t>Planer for 20</w:t>
      </w:r>
      <w:r w:rsidR="003E64CA">
        <w:rPr>
          <w:b/>
          <w:sz w:val="28"/>
          <w:szCs w:val="28"/>
        </w:rPr>
        <w:t>12</w:t>
      </w:r>
    </w:p>
    <w:p w:rsidR="0044403A" w:rsidRDefault="00CA4549" w:rsidP="00592BF2">
      <w:pPr>
        <w:spacing w:after="120"/>
      </w:pPr>
      <w:r>
        <w:t>Plankapitlet er delt inn i tre</w:t>
      </w:r>
      <w:r w:rsidR="0044403A" w:rsidRPr="0044403A">
        <w:t xml:space="preserve"> underkapitler:</w:t>
      </w:r>
    </w:p>
    <w:p w:rsidR="00675DD0" w:rsidRDefault="00B92ADA" w:rsidP="004D5817">
      <w:pPr>
        <w:spacing w:after="60"/>
        <w:ind w:left="357"/>
      </w:pPr>
      <w:r>
        <w:t>4.1</w:t>
      </w:r>
      <w:r>
        <w:tab/>
      </w:r>
      <w:r w:rsidR="002C07CE">
        <w:t>Strategiske mål og p</w:t>
      </w:r>
      <w:r w:rsidR="00675DD0">
        <w:t>laner for virksomheten 20</w:t>
      </w:r>
      <w:r w:rsidR="003E64CA">
        <w:t>12</w:t>
      </w:r>
    </w:p>
    <w:p w:rsidR="00265250" w:rsidRDefault="00B92ADA" w:rsidP="004D5817">
      <w:pPr>
        <w:spacing w:after="60"/>
        <w:ind w:left="357"/>
      </w:pPr>
      <w:r>
        <w:t>4.</w:t>
      </w:r>
      <w:r w:rsidR="006423C6">
        <w:t>2</w:t>
      </w:r>
      <w:r>
        <w:tab/>
      </w:r>
      <w:r w:rsidR="002C07CE">
        <w:t>Plan for tildelt</w:t>
      </w:r>
      <w:r w:rsidR="00265250">
        <w:t xml:space="preserve"> bevilgning </w:t>
      </w:r>
      <w:r w:rsidR="002C07CE">
        <w:t xml:space="preserve">i </w:t>
      </w:r>
      <w:r w:rsidR="00265250">
        <w:t>20</w:t>
      </w:r>
      <w:r w:rsidR="003E64CA">
        <w:t>12</w:t>
      </w:r>
    </w:p>
    <w:p w:rsidR="00265250" w:rsidRPr="0044403A" w:rsidRDefault="00CA4549" w:rsidP="004D5817">
      <w:pPr>
        <w:spacing w:after="60"/>
        <w:ind w:left="357"/>
      </w:pPr>
      <w:r>
        <w:t>4.3</w:t>
      </w:r>
      <w:r w:rsidR="00B92ADA">
        <w:tab/>
      </w:r>
      <w:r w:rsidR="002C07CE">
        <w:t>Prosjekter under planlegging</w:t>
      </w:r>
    </w:p>
    <w:p w:rsidR="00917CAC" w:rsidRDefault="00B4093E" w:rsidP="0016259D">
      <w:pPr>
        <w:pStyle w:val="Brdtekst"/>
        <w:spacing w:after="0"/>
        <w:rPr>
          <w:szCs w:val="24"/>
        </w:rPr>
      </w:pPr>
      <w:r w:rsidRPr="00D54ACE">
        <w:t>Kapitt</w:t>
      </w:r>
      <w:r w:rsidR="00D57A4B" w:rsidRPr="00D54ACE">
        <w:t xml:space="preserve">el 4.1 omfatter mål og </w:t>
      </w:r>
      <w:r w:rsidR="003E64CA">
        <w:t>planer for virksomheten i 2012</w:t>
      </w:r>
      <w:r w:rsidR="00F95D5B" w:rsidRPr="00D54ACE">
        <w:t xml:space="preserve">. Dette er relatert til </w:t>
      </w:r>
      <w:r w:rsidR="003E64CA">
        <w:t xml:space="preserve">KDs </w:t>
      </w:r>
      <w:r w:rsidR="00917CAC">
        <w:t xml:space="preserve">5 </w:t>
      </w:r>
      <w:r w:rsidR="003E64CA">
        <w:t xml:space="preserve">sektormål og </w:t>
      </w:r>
      <w:r w:rsidR="00917CAC">
        <w:t xml:space="preserve">13 </w:t>
      </w:r>
      <w:r w:rsidR="003E64CA">
        <w:t>nye</w:t>
      </w:r>
      <w:r w:rsidR="00917CAC">
        <w:t xml:space="preserve"> styringsparametere samt til våre </w:t>
      </w:r>
      <w:r w:rsidR="003E64CA">
        <w:t>virksomhetsmål</w:t>
      </w:r>
      <w:r w:rsidR="00917CAC">
        <w:t xml:space="preserve"> i NTNUs strategi og til de</w:t>
      </w:r>
      <w:r w:rsidR="003E64CA">
        <w:t xml:space="preserve"> foreløpige indikatorene som styret vedtok for 2012. </w:t>
      </w:r>
      <w:r w:rsidR="0016259D">
        <w:t>Det er gitt en status</w:t>
      </w:r>
      <w:r w:rsidR="00917CAC">
        <w:t xml:space="preserve"> og satt ambisjonsnivå 2012</w:t>
      </w:r>
      <w:r w:rsidR="00917CAC" w:rsidRPr="00D54ACE">
        <w:t xml:space="preserve"> for </w:t>
      </w:r>
      <w:r w:rsidR="00917CAC">
        <w:t>styringsparametere</w:t>
      </w:r>
      <w:r w:rsidR="00917CAC" w:rsidRPr="00D54ACE">
        <w:t xml:space="preserve"> gitt av KD. </w:t>
      </w:r>
      <w:r w:rsidR="00917CAC">
        <w:t xml:space="preserve"> </w:t>
      </w:r>
      <w:r w:rsidR="00FC7013">
        <w:rPr>
          <w:szCs w:val="24"/>
        </w:rPr>
        <w:t>Da</w:t>
      </w:r>
      <w:r w:rsidR="0016259D">
        <w:rPr>
          <w:szCs w:val="24"/>
        </w:rPr>
        <w:t xml:space="preserve"> våre foreløpige indikatorer er gjeldende </w:t>
      </w:r>
      <w:r w:rsidR="00917CAC" w:rsidRPr="00917CAC">
        <w:rPr>
          <w:szCs w:val="24"/>
        </w:rPr>
        <w:t xml:space="preserve">kun for 2012, settes det ikke konkrete mål for NTNU på alle disse områdene, men </w:t>
      </w:r>
      <w:r w:rsidR="0016259D">
        <w:rPr>
          <w:szCs w:val="24"/>
        </w:rPr>
        <w:t xml:space="preserve">status </w:t>
      </w:r>
      <w:r w:rsidR="00917CAC" w:rsidRPr="00917CAC">
        <w:rPr>
          <w:szCs w:val="24"/>
        </w:rPr>
        <w:t xml:space="preserve">ambisjonsnivå omtales.  </w:t>
      </w:r>
    </w:p>
    <w:p w:rsidR="000B274F" w:rsidRDefault="000B274F" w:rsidP="0016259D">
      <w:pPr>
        <w:pStyle w:val="Brdtekst"/>
        <w:spacing w:after="0"/>
        <w:rPr>
          <w:szCs w:val="24"/>
        </w:rPr>
      </w:pPr>
    </w:p>
    <w:p w:rsidR="000B274F" w:rsidRDefault="000B274F" w:rsidP="000B274F">
      <w:pPr>
        <w:autoSpaceDE w:val="0"/>
        <w:autoSpaceDN w:val="0"/>
        <w:adjustRightInd w:val="0"/>
        <w:rPr>
          <w:szCs w:val="24"/>
        </w:rPr>
      </w:pPr>
      <w:r>
        <w:rPr>
          <w:szCs w:val="24"/>
        </w:rPr>
        <w:t>I etatsstyringsmøtet med KD 7.mai 2012 vil departementet ha dialog om de virksomhetsmål og styringsparametere NTNU har for 2012. I etterkant av etatsstyringsmøtet og departementets tilbakemelding etter møtet legger departementet til grunn at styret på nytt eventuelt behandler virksomhetsmålene med tilhørende styringsparametere og gjør eventuelle justeringer i</w:t>
      </w:r>
    </w:p>
    <w:p w:rsidR="000B274F" w:rsidRDefault="000B274F" w:rsidP="000B274F">
      <w:pPr>
        <w:autoSpaceDE w:val="0"/>
        <w:autoSpaceDN w:val="0"/>
        <w:adjustRightInd w:val="0"/>
        <w:rPr>
          <w:szCs w:val="24"/>
        </w:rPr>
      </w:pPr>
      <w:r>
        <w:rPr>
          <w:szCs w:val="24"/>
        </w:rPr>
        <w:t>disse. KD presiserer at innføring av ny målstruktur vil være et utviklingsarbeid i sektoren der det må vinnes erfaringer over tid. 2012 er derfor en innføringsfase både for institusjonene og departementet. Det innebærer at vi også vil se 2012 som en utviklingsperiode for felles, nasjonale styringsparametere.</w:t>
      </w:r>
    </w:p>
    <w:p w:rsidR="000B274F" w:rsidRPr="00917CAC" w:rsidRDefault="000B274F" w:rsidP="0016259D">
      <w:pPr>
        <w:pStyle w:val="Brdtekst"/>
        <w:spacing w:after="0"/>
      </w:pPr>
    </w:p>
    <w:p w:rsidR="006115D9" w:rsidRDefault="006115D9" w:rsidP="0016259D">
      <w:pPr>
        <w:pStyle w:val="Brdtekst"/>
        <w:spacing w:after="0"/>
      </w:pPr>
      <w:r>
        <w:t>Videre ber KD oss om å vise hvordan vi planlegger å di</w:t>
      </w:r>
      <w:r w:rsidR="00601C31">
        <w:t>sponere tildelte midler for 201</w:t>
      </w:r>
      <w:r w:rsidR="0016259D">
        <w:t>2</w:t>
      </w:r>
      <w:r>
        <w:t>. Dette er omhandlet i kapittel 4.</w:t>
      </w:r>
      <w:r w:rsidR="006423C6">
        <w:t>2 (behandlet i styret i des</w:t>
      </w:r>
      <w:r w:rsidR="00601C31">
        <w:t>e</w:t>
      </w:r>
      <w:r w:rsidR="006423C6">
        <w:t>mber)</w:t>
      </w:r>
      <w:r>
        <w:t>.</w:t>
      </w:r>
    </w:p>
    <w:p w:rsidR="0016259D" w:rsidRDefault="0016259D" w:rsidP="0016259D">
      <w:pPr>
        <w:pStyle w:val="Brdtekst"/>
        <w:spacing w:after="0"/>
      </w:pPr>
    </w:p>
    <w:p w:rsidR="006115D9" w:rsidRDefault="006115D9" w:rsidP="00B4093E">
      <w:pPr>
        <w:pStyle w:val="Brdtekst"/>
      </w:pPr>
      <w:r>
        <w:t xml:space="preserve">Avslutningsvis </w:t>
      </w:r>
      <w:r w:rsidR="00F95D5B">
        <w:t xml:space="preserve">(kap.4.3) </w:t>
      </w:r>
      <w:r>
        <w:t xml:space="preserve">er det bedt om </w:t>
      </w:r>
      <w:r w:rsidR="00217A1E">
        <w:t xml:space="preserve">at vi presenterer </w:t>
      </w:r>
      <w:r>
        <w:t>en oversikt over planlagte byggeprosjekter. Dette utgjør pros</w:t>
      </w:r>
      <w:r w:rsidR="008A0DE9">
        <w:t xml:space="preserve">jekter i Campusprosjektet, </w:t>
      </w:r>
      <w:r w:rsidR="00770159">
        <w:t xml:space="preserve">fase 1 </w:t>
      </w:r>
      <w:r w:rsidR="006423C6">
        <w:t>og fase 2</w:t>
      </w:r>
      <w:r w:rsidR="008A0DE9">
        <w:t xml:space="preserve"> samt en kort omtale om nye prosjekter under utredning.</w:t>
      </w:r>
    </w:p>
    <w:p w:rsidR="007900DC" w:rsidRDefault="007900DC" w:rsidP="00B4093E">
      <w:pPr>
        <w:pStyle w:val="Brdtekst"/>
      </w:pPr>
    </w:p>
    <w:p w:rsidR="007900DC" w:rsidRPr="003C3B78" w:rsidRDefault="007900DC" w:rsidP="007900DC">
      <w:pPr>
        <w:rPr>
          <w:i/>
          <w:lang w:val="nn-NO"/>
        </w:rPr>
      </w:pPr>
      <w:r w:rsidRPr="003C3B78">
        <w:rPr>
          <w:i/>
          <w:lang w:val="nn-NO"/>
        </w:rPr>
        <w:t xml:space="preserve">Vedlegg: </w:t>
      </w:r>
      <w:r w:rsidR="003C3B78" w:rsidRPr="003C3B78">
        <w:rPr>
          <w:i/>
          <w:lang w:val="nn-NO"/>
        </w:rPr>
        <w:br/>
      </w:r>
      <w:hyperlink r:id="rId8" w:history="1">
        <w:r w:rsidR="003C3B78" w:rsidRPr="003C3B78">
          <w:rPr>
            <w:rStyle w:val="Hyperkobling"/>
            <w:i/>
            <w:lang w:val="nn-NO"/>
          </w:rPr>
          <w:t>Rapport og planer 201</w:t>
        </w:r>
        <w:r w:rsidR="003C3B78" w:rsidRPr="003C3B78">
          <w:rPr>
            <w:rStyle w:val="Hyperkobling"/>
            <w:i/>
            <w:lang w:val="nn-NO"/>
          </w:rPr>
          <w:t>1</w:t>
        </w:r>
        <w:r w:rsidR="003C3B78" w:rsidRPr="003C3B78">
          <w:rPr>
            <w:rStyle w:val="Hyperkobling"/>
            <w:i/>
            <w:lang w:val="nn-NO"/>
          </w:rPr>
          <w:t xml:space="preserve"> – 2012, kap. 1-4</w:t>
        </w:r>
      </w:hyperlink>
      <w:r w:rsidR="003C3B78">
        <w:rPr>
          <w:i/>
          <w:lang w:val="nn-NO"/>
        </w:rPr>
        <w:br/>
      </w:r>
    </w:p>
    <w:p w:rsidR="007900DC" w:rsidRPr="003C3B78" w:rsidRDefault="007900DC">
      <w:pPr>
        <w:rPr>
          <w:lang w:val="nn-NO"/>
        </w:rPr>
      </w:pPr>
    </w:p>
    <w:p w:rsidR="007900DC" w:rsidRPr="003C3B78" w:rsidRDefault="007900DC">
      <w:pPr>
        <w:rPr>
          <w:lang w:val="nn-NO"/>
        </w:rPr>
      </w:pPr>
      <w:bookmarkStart w:id="9" w:name="_GoBack"/>
      <w:bookmarkEnd w:id="9"/>
    </w:p>
    <w:sectPr w:rsidR="007900DC" w:rsidRPr="003C3B78">
      <w:headerReference w:type="default" r:id="rId9"/>
      <w:footerReference w:type="default" r:id="rId10"/>
      <w:footerReference w:type="first" r:id="rId11"/>
      <w:pgSz w:w="11907" w:h="16840" w:code="9"/>
      <w:pgMar w:top="624" w:right="851" w:bottom="1474" w:left="1247" w:header="624" w:footer="737"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21" w:rsidRDefault="009C0921">
      <w:r>
        <w:separator/>
      </w:r>
    </w:p>
  </w:endnote>
  <w:endnote w:type="continuationSeparator" w:id="0">
    <w:p w:rsidR="009C0921" w:rsidRDefault="009C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F2" w:rsidRDefault="004573F2">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3C3B78">
      <w:rPr>
        <w:rStyle w:val="Sidetall"/>
        <w:noProof/>
        <w:sz w:val="20"/>
      </w:rPr>
      <w:t>4</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3C3B78">
      <w:rPr>
        <w:rStyle w:val="Sidetall"/>
        <w:noProof/>
        <w:sz w:val="20"/>
      </w:rPr>
      <w:t>4</w:t>
    </w:r>
    <w:r>
      <w:rPr>
        <w:rStyle w:val="Sidetall"/>
        <w:sz w:val="20"/>
      </w:rPr>
      <w:fldChar w:fldCharType="end"/>
    </w:r>
  </w:p>
  <w:p w:rsidR="004573F2" w:rsidRDefault="004573F2">
    <w:pPr>
      <w:pStyle w:val="Bunntekst"/>
      <w:tabs>
        <w:tab w:val="clear" w:pos="4536"/>
        <w:tab w:val="clear" w:pos="9072"/>
        <w:tab w:val="left" w:pos="2495"/>
        <w:tab w:val="left" w:pos="4990"/>
        <w:tab w:val="left" w:pos="5670"/>
        <w:tab w:val="right" w:pos="9809"/>
      </w:tabs>
      <w:rPr>
        <w:sz w:val="16"/>
      </w:rPr>
    </w:pPr>
  </w:p>
  <w:p w:rsidR="004573F2" w:rsidRDefault="004573F2">
    <w:pPr>
      <w:pStyle w:val="Bunntekst"/>
      <w:tabs>
        <w:tab w:val="clear" w:pos="4536"/>
        <w:tab w:val="clear" w:pos="9072"/>
        <w:tab w:val="right" w:pos="9809"/>
      </w:tabs>
      <w:rPr>
        <w:sz w:val="16"/>
      </w:rPr>
    </w:pP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F2" w:rsidRDefault="004573F2">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3C3B78">
      <w:rPr>
        <w:rStyle w:val="Sidetall"/>
        <w:noProof/>
        <w:sz w:val="20"/>
      </w:rPr>
      <w:t>1</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3C3B78">
      <w:rPr>
        <w:rStyle w:val="Sidetall"/>
        <w:noProof/>
        <w:sz w:val="20"/>
      </w:rPr>
      <w:t>1</w:t>
    </w:r>
    <w:r>
      <w:rPr>
        <w:rStyle w:val="Sidetall"/>
        <w:sz w:val="20"/>
      </w:rPr>
      <w:fldChar w:fldCharType="end"/>
    </w:r>
  </w:p>
  <w:p w:rsidR="004573F2" w:rsidRDefault="004573F2">
    <w:pPr>
      <w:pStyle w:val="Bunntekst"/>
      <w:tabs>
        <w:tab w:val="clear" w:pos="4536"/>
        <w:tab w:val="clear" w:pos="9072"/>
        <w:tab w:val="left" w:pos="2495"/>
        <w:tab w:val="left" w:pos="4990"/>
        <w:tab w:val="left" w:pos="5670"/>
        <w:tab w:val="right" w:pos="9809"/>
      </w:tabs>
      <w:rPr>
        <w:sz w:val="16"/>
      </w:rPr>
    </w:pPr>
  </w:p>
  <w:p w:rsidR="004573F2" w:rsidRDefault="004573F2">
    <w:pPr>
      <w:pStyle w:val="Bunntekst"/>
      <w:tabs>
        <w:tab w:val="clear" w:pos="4536"/>
        <w:tab w:val="clear" w:pos="9072"/>
        <w:tab w:val="left" w:pos="2495"/>
        <w:tab w:val="left" w:pos="4990"/>
        <w:tab w:val="left" w:pos="5670"/>
        <w:tab w:val="right" w:pos="9809"/>
      </w:tabs>
      <w:rPr>
        <w:sz w:val="16"/>
      </w:rPr>
    </w:pPr>
    <w:r>
      <w:rPr>
        <w:sz w:val="16"/>
      </w:rPr>
      <w:tab/>
    </w:r>
    <w:r>
      <w:rPr>
        <w:sz w:val="16"/>
      </w:rPr>
      <w:tab/>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21" w:rsidRDefault="009C0921">
      <w:r>
        <w:separator/>
      </w:r>
    </w:p>
  </w:footnote>
  <w:footnote w:type="continuationSeparator" w:id="0">
    <w:p w:rsidR="009C0921" w:rsidRDefault="009C0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F2" w:rsidRDefault="004573F2">
    <w:pPr>
      <w:pStyle w:val="Topptekst"/>
      <w:spacing w:line="240" w:lineRule="exact"/>
    </w:pPr>
    <w:r>
      <w:t xml:space="preserve"> </w:t>
    </w:r>
  </w:p>
  <w:p w:rsidR="004573F2" w:rsidRDefault="004573F2">
    <w:pPr>
      <w:pStyle w:val="Topptekst"/>
      <w:spacing w:line="240" w:lineRule="exact"/>
    </w:pPr>
    <w:r>
      <w:t xml:space="preserve"> </w:t>
    </w:r>
  </w:p>
  <w:p w:rsidR="004573F2" w:rsidRDefault="004573F2">
    <w:pPr>
      <w:pStyle w:val="Topptekst"/>
      <w:spacing w:line="240" w:lineRule="exac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486"/>
    <w:multiLevelType w:val="hybridMultilevel"/>
    <w:tmpl w:val="6FBE6BB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4CD5088"/>
    <w:multiLevelType w:val="hybridMultilevel"/>
    <w:tmpl w:val="D616C32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1">
      <w:start w:val="1"/>
      <w:numFmt w:val="bullet"/>
      <w:lvlText w:val=""/>
      <w:lvlJc w:val="left"/>
      <w:pPr>
        <w:tabs>
          <w:tab w:val="num" w:pos="2160"/>
        </w:tabs>
        <w:ind w:left="2160" w:hanging="360"/>
      </w:pPr>
      <w:rPr>
        <w:rFonts w:ascii="Symbol" w:hAnsi="Symbol"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5AB2FF3"/>
    <w:multiLevelType w:val="hybridMultilevel"/>
    <w:tmpl w:val="55088F50"/>
    <w:lvl w:ilvl="0" w:tplc="0414000F">
      <w:start w:val="1"/>
      <w:numFmt w:val="decimal"/>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06214C60"/>
    <w:multiLevelType w:val="hybridMultilevel"/>
    <w:tmpl w:val="66ECC7F0"/>
    <w:lvl w:ilvl="0" w:tplc="4F1C71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11B53"/>
    <w:multiLevelType w:val="hybridMultilevel"/>
    <w:tmpl w:val="F69C4B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nsid w:val="25F27C7B"/>
    <w:multiLevelType w:val="hybridMultilevel"/>
    <w:tmpl w:val="883CDBD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290F684A"/>
    <w:multiLevelType w:val="hybridMultilevel"/>
    <w:tmpl w:val="6A84E7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2C4A3E76"/>
    <w:multiLevelType w:val="hybridMultilevel"/>
    <w:tmpl w:val="D22EE59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2EB33CD2"/>
    <w:multiLevelType w:val="hybridMultilevel"/>
    <w:tmpl w:val="5FF8262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2F0215FC"/>
    <w:multiLevelType w:val="hybridMultilevel"/>
    <w:tmpl w:val="4C00F4D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31EE2DDC"/>
    <w:multiLevelType w:val="hybridMultilevel"/>
    <w:tmpl w:val="063694A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356A54E0"/>
    <w:multiLevelType w:val="hybridMultilevel"/>
    <w:tmpl w:val="CED086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355"/>
        </w:tabs>
        <w:ind w:left="1355" w:hanging="360"/>
      </w:pPr>
      <w:rPr>
        <w:rFonts w:ascii="Courier New" w:hAnsi="Courier New" w:cs="Courier New" w:hint="default"/>
      </w:rPr>
    </w:lvl>
    <w:lvl w:ilvl="2" w:tplc="04140005" w:tentative="1">
      <w:start w:val="1"/>
      <w:numFmt w:val="bullet"/>
      <w:lvlText w:val=""/>
      <w:lvlJc w:val="left"/>
      <w:pPr>
        <w:tabs>
          <w:tab w:val="num" w:pos="2075"/>
        </w:tabs>
        <w:ind w:left="2075" w:hanging="360"/>
      </w:pPr>
      <w:rPr>
        <w:rFonts w:ascii="Wingdings" w:hAnsi="Wingdings" w:hint="default"/>
      </w:rPr>
    </w:lvl>
    <w:lvl w:ilvl="3" w:tplc="04140001" w:tentative="1">
      <w:start w:val="1"/>
      <w:numFmt w:val="bullet"/>
      <w:lvlText w:val=""/>
      <w:lvlJc w:val="left"/>
      <w:pPr>
        <w:tabs>
          <w:tab w:val="num" w:pos="2795"/>
        </w:tabs>
        <w:ind w:left="2795" w:hanging="360"/>
      </w:pPr>
      <w:rPr>
        <w:rFonts w:ascii="Symbol" w:hAnsi="Symbol" w:hint="default"/>
      </w:rPr>
    </w:lvl>
    <w:lvl w:ilvl="4" w:tplc="04140003" w:tentative="1">
      <w:start w:val="1"/>
      <w:numFmt w:val="bullet"/>
      <w:lvlText w:val="o"/>
      <w:lvlJc w:val="left"/>
      <w:pPr>
        <w:tabs>
          <w:tab w:val="num" w:pos="3515"/>
        </w:tabs>
        <w:ind w:left="3515" w:hanging="360"/>
      </w:pPr>
      <w:rPr>
        <w:rFonts w:ascii="Courier New" w:hAnsi="Courier New" w:cs="Courier New" w:hint="default"/>
      </w:rPr>
    </w:lvl>
    <w:lvl w:ilvl="5" w:tplc="04140005" w:tentative="1">
      <w:start w:val="1"/>
      <w:numFmt w:val="bullet"/>
      <w:lvlText w:val=""/>
      <w:lvlJc w:val="left"/>
      <w:pPr>
        <w:tabs>
          <w:tab w:val="num" w:pos="4235"/>
        </w:tabs>
        <w:ind w:left="4235" w:hanging="360"/>
      </w:pPr>
      <w:rPr>
        <w:rFonts w:ascii="Wingdings" w:hAnsi="Wingdings" w:hint="default"/>
      </w:rPr>
    </w:lvl>
    <w:lvl w:ilvl="6" w:tplc="04140001" w:tentative="1">
      <w:start w:val="1"/>
      <w:numFmt w:val="bullet"/>
      <w:lvlText w:val=""/>
      <w:lvlJc w:val="left"/>
      <w:pPr>
        <w:tabs>
          <w:tab w:val="num" w:pos="4955"/>
        </w:tabs>
        <w:ind w:left="4955" w:hanging="360"/>
      </w:pPr>
      <w:rPr>
        <w:rFonts w:ascii="Symbol" w:hAnsi="Symbol" w:hint="default"/>
      </w:rPr>
    </w:lvl>
    <w:lvl w:ilvl="7" w:tplc="04140003" w:tentative="1">
      <w:start w:val="1"/>
      <w:numFmt w:val="bullet"/>
      <w:lvlText w:val="o"/>
      <w:lvlJc w:val="left"/>
      <w:pPr>
        <w:tabs>
          <w:tab w:val="num" w:pos="5675"/>
        </w:tabs>
        <w:ind w:left="5675" w:hanging="360"/>
      </w:pPr>
      <w:rPr>
        <w:rFonts w:ascii="Courier New" w:hAnsi="Courier New" w:cs="Courier New" w:hint="default"/>
      </w:rPr>
    </w:lvl>
    <w:lvl w:ilvl="8" w:tplc="04140005" w:tentative="1">
      <w:start w:val="1"/>
      <w:numFmt w:val="bullet"/>
      <w:lvlText w:val=""/>
      <w:lvlJc w:val="left"/>
      <w:pPr>
        <w:tabs>
          <w:tab w:val="num" w:pos="6395"/>
        </w:tabs>
        <w:ind w:left="6395" w:hanging="360"/>
      </w:pPr>
      <w:rPr>
        <w:rFonts w:ascii="Wingdings" w:hAnsi="Wingdings" w:hint="default"/>
      </w:rPr>
    </w:lvl>
  </w:abstractNum>
  <w:abstractNum w:abstractNumId="12">
    <w:nsid w:val="53F82514"/>
    <w:multiLevelType w:val="hybridMultilevel"/>
    <w:tmpl w:val="33A239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5D52636"/>
    <w:multiLevelType w:val="multilevel"/>
    <w:tmpl w:val="50785F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EEF1B8B"/>
    <w:multiLevelType w:val="hybridMultilevel"/>
    <w:tmpl w:val="CC2C4752"/>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5">
    <w:nsid w:val="785B0929"/>
    <w:multiLevelType w:val="hybridMultilevel"/>
    <w:tmpl w:val="1E3AF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8A5B47"/>
    <w:multiLevelType w:val="hybridMultilevel"/>
    <w:tmpl w:val="E9AC1C8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7A95724A"/>
    <w:multiLevelType w:val="hybridMultilevel"/>
    <w:tmpl w:val="85CC898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
  </w:num>
  <w:num w:numId="4">
    <w:abstractNumId w:val="8"/>
  </w:num>
  <w:num w:numId="5">
    <w:abstractNumId w:val="17"/>
  </w:num>
  <w:num w:numId="6">
    <w:abstractNumId w:val="6"/>
  </w:num>
  <w:num w:numId="7">
    <w:abstractNumId w:val="2"/>
  </w:num>
  <w:num w:numId="8">
    <w:abstractNumId w:val="4"/>
  </w:num>
  <w:num w:numId="9">
    <w:abstractNumId w:val="16"/>
  </w:num>
  <w:num w:numId="10">
    <w:abstractNumId w:val="7"/>
  </w:num>
  <w:num w:numId="11">
    <w:abstractNumId w:val="5"/>
  </w:num>
  <w:num w:numId="12">
    <w:abstractNumId w:val="12"/>
  </w:num>
  <w:num w:numId="13">
    <w:abstractNumId w:val="0"/>
  </w:num>
  <w:num w:numId="14">
    <w:abstractNumId w:val="14"/>
  </w:num>
  <w:num w:numId="15">
    <w:abstractNumId w:val="10"/>
  </w:num>
  <w:num w:numId="16">
    <w:abstractNumId w:val="9"/>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36"/>
    <w:rsid w:val="000040D8"/>
    <w:rsid w:val="00007BFD"/>
    <w:rsid w:val="00014F07"/>
    <w:rsid w:val="00026869"/>
    <w:rsid w:val="0003203F"/>
    <w:rsid w:val="0003655E"/>
    <w:rsid w:val="00042F4C"/>
    <w:rsid w:val="00045D9D"/>
    <w:rsid w:val="00053A7B"/>
    <w:rsid w:val="000643B3"/>
    <w:rsid w:val="00076181"/>
    <w:rsid w:val="00077232"/>
    <w:rsid w:val="00092E4E"/>
    <w:rsid w:val="0009637F"/>
    <w:rsid w:val="00097393"/>
    <w:rsid w:val="000A0488"/>
    <w:rsid w:val="000A3952"/>
    <w:rsid w:val="000A4ACB"/>
    <w:rsid w:val="000B274F"/>
    <w:rsid w:val="000B56EF"/>
    <w:rsid w:val="000C402F"/>
    <w:rsid w:val="000C4258"/>
    <w:rsid w:val="000C51AC"/>
    <w:rsid w:val="000D47E8"/>
    <w:rsid w:val="000E0D55"/>
    <w:rsid w:val="000E6596"/>
    <w:rsid w:val="000F2972"/>
    <w:rsid w:val="000F7068"/>
    <w:rsid w:val="00101E50"/>
    <w:rsid w:val="00103164"/>
    <w:rsid w:val="00105F75"/>
    <w:rsid w:val="00110112"/>
    <w:rsid w:val="00113AFA"/>
    <w:rsid w:val="00122052"/>
    <w:rsid w:val="0012517B"/>
    <w:rsid w:val="00134AC0"/>
    <w:rsid w:val="00136E1A"/>
    <w:rsid w:val="00137A3B"/>
    <w:rsid w:val="00143BBC"/>
    <w:rsid w:val="00146498"/>
    <w:rsid w:val="00147359"/>
    <w:rsid w:val="0016259D"/>
    <w:rsid w:val="00165D54"/>
    <w:rsid w:val="00171ED2"/>
    <w:rsid w:val="00177FAE"/>
    <w:rsid w:val="00191662"/>
    <w:rsid w:val="00196839"/>
    <w:rsid w:val="001A1B79"/>
    <w:rsid w:val="001A1FB0"/>
    <w:rsid w:val="001A7706"/>
    <w:rsid w:val="001B3489"/>
    <w:rsid w:val="001B48CA"/>
    <w:rsid w:val="001B4BC7"/>
    <w:rsid w:val="001C0A19"/>
    <w:rsid w:val="002034C9"/>
    <w:rsid w:val="0020419D"/>
    <w:rsid w:val="0020679E"/>
    <w:rsid w:val="00217A1E"/>
    <w:rsid w:val="002247BB"/>
    <w:rsid w:val="00233D5D"/>
    <w:rsid w:val="00240C1D"/>
    <w:rsid w:val="00255F35"/>
    <w:rsid w:val="00257D8F"/>
    <w:rsid w:val="00265250"/>
    <w:rsid w:val="0027203F"/>
    <w:rsid w:val="002742F9"/>
    <w:rsid w:val="00283B78"/>
    <w:rsid w:val="00290DBA"/>
    <w:rsid w:val="002A14A6"/>
    <w:rsid w:val="002B3FB7"/>
    <w:rsid w:val="002C07CE"/>
    <w:rsid w:val="002C0F5E"/>
    <w:rsid w:val="002C43C4"/>
    <w:rsid w:val="002C66D4"/>
    <w:rsid w:val="002C7E01"/>
    <w:rsid w:val="002F3C54"/>
    <w:rsid w:val="002F53B9"/>
    <w:rsid w:val="002F58C3"/>
    <w:rsid w:val="002F798B"/>
    <w:rsid w:val="00310028"/>
    <w:rsid w:val="00311562"/>
    <w:rsid w:val="00327784"/>
    <w:rsid w:val="00336F16"/>
    <w:rsid w:val="00340E4C"/>
    <w:rsid w:val="00343DA4"/>
    <w:rsid w:val="003452B2"/>
    <w:rsid w:val="003523E7"/>
    <w:rsid w:val="003608F7"/>
    <w:rsid w:val="00362A62"/>
    <w:rsid w:val="00364AF8"/>
    <w:rsid w:val="00364C2A"/>
    <w:rsid w:val="00367B95"/>
    <w:rsid w:val="00370FD4"/>
    <w:rsid w:val="00371E35"/>
    <w:rsid w:val="0037617F"/>
    <w:rsid w:val="00387C65"/>
    <w:rsid w:val="00391D71"/>
    <w:rsid w:val="00395DB9"/>
    <w:rsid w:val="003A3F89"/>
    <w:rsid w:val="003B22D1"/>
    <w:rsid w:val="003B668E"/>
    <w:rsid w:val="003C26EC"/>
    <w:rsid w:val="003C3B78"/>
    <w:rsid w:val="003C53A1"/>
    <w:rsid w:val="003E2394"/>
    <w:rsid w:val="003E2F88"/>
    <w:rsid w:val="003E64CA"/>
    <w:rsid w:val="003F0F39"/>
    <w:rsid w:val="003F30E5"/>
    <w:rsid w:val="004023DC"/>
    <w:rsid w:val="00404336"/>
    <w:rsid w:val="004043D4"/>
    <w:rsid w:val="00411328"/>
    <w:rsid w:val="0041269D"/>
    <w:rsid w:val="00415D6E"/>
    <w:rsid w:val="00420164"/>
    <w:rsid w:val="004210DF"/>
    <w:rsid w:val="00426853"/>
    <w:rsid w:val="0044403A"/>
    <w:rsid w:val="004573F2"/>
    <w:rsid w:val="004645B0"/>
    <w:rsid w:val="00472766"/>
    <w:rsid w:val="004728E5"/>
    <w:rsid w:val="00473169"/>
    <w:rsid w:val="00473EB4"/>
    <w:rsid w:val="00480362"/>
    <w:rsid w:val="00482922"/>
    <w:rsid w:val="00495F3D"/>
    <w:rsid w:val="004C3304"/>
    <w:rsid w:val="004C4849"/>
    <w:rsid w:val="004C5F2E"/>
    <w:rsid w:val="004C7BB8"/>
    <w:rsid w:val="004D3DE3"/>
    <w:rsid w:val="004D5817"/>
    <w:rsid w:val="004E14BC"/>
    <w:rsid w:val="004E40CD"/>
    <w:rsid w:val="004E6BFF"/>
    <w:rsid w:val="004E7864"/>
    <w:rsid w:val="004E79F0"/>
    <w:rsid w:val="004F6840"/>
    <w:rsid w:val="00501D03"/>
    <w:rsid w:val="005036B8"/>
    <w:rsid w:val="00521EAC"/>
    <w:rsid w:val="005341D6"/>
    <w:rsid w:val="00534B0A"/>
    <w:rsid w:val="00563A66"/>
    <w:rsid w:val="005657D3"/>
    <w:rsid w:val="005831E8"/>
    <w:rsid w:val="00590D48"/>
    <w:rsid w:val="00592BF2"/>
    <w:rsid w:val="0059526D"/>
    <w:rsid w:val="005A1509"/>
    <w:rsid w:val="005A32E9"/>
    <w:rsid w:val="005A7769"/>
    <w:rsid w:val="005B4A4C"/>
    <w:rsid w:val="005C0362"/>
    <w:rsid w:val="005C33BB"/>
    <w:rsid w:val="005C4EA5"/>
    <w:rsid w:val="005D06FB"/>
    <w:rsid w:val="005D22E5"/>
    <w:rsid w:val="005D5670"/>
    <w:rsid w:val="005E208B"/>
    <w:rsid w:val="005E222F"/>
    <w:rsid w:val="005E623A"/>
    <w:rsid w:val="005F215B"/>
    <w:rsid w:val="00601C31"/>
    <w:rsid w:val="006028A0"/>
    <w:rsid w:val="006102EE"/>
    <w:rsid w:val="006115D9"/>
    <w:rsid w:val="00635C84"/>
    <w:rsid w:val="006423C6"/>
    <w:rsid w:val="0065593C"/>
    <w:rsid w:val="0066310B"/>
    <w:rsid w:val="00664930"/>
    <w:rsid w:val="0067065D"/>
    <w:rsid w:val="00671660"/>
    <w:rsid w:val="006747DD"/>
    <w:rsid w:val="00675DD0"/>
    <w:rsid w:val="0067776E"/>
    <w:rsid w:val="0068396E"/>
    <w:rsid w:val="006902A5"/>
    <w:rsid w:val="006A43FE"/>
    <w:rsid w:val="006B07AA"/>
    <w:rsid w:val="006B7658"/>
    <w:rsid w:val="006D0063"/>
    <w:rsid w:val="006D1860"/>
    <w:rsid w:val="006D4FD0"/>
    <w:rsid w:val="006E3E9F"/>
    <w:rsid w:val="006F1879"/>
    <w:rsid w:val="006F32A3"/>
    <w:rsid w:val="006F6B82"/>
    <w:rsid w:val="00701DCF"/>
    <w:rsid w:val="00716472"/>
    <w:rsid w:val="00724B6E"/>
    <w:rsid w:val="00725819"/>
    <w:rsid w:val="0072602A"/>
    <w:rsid w:val="00726F65"/>
    <w:rsid w:val="007343DD"/>
    <w:rsid w:val="00742D95"/>
    <w:rsid w:val="00752C15"/>
    <w:rsid w:val="00770159"/>
    <w:rsid w:val="007828FB"/>
    <w:rsid w:val="00783AEA"/>
    <w:rsid w:val="007900DC"/>
    <w:rsid w:val="0079074F"/>
    <w:rsid w:val="00791DBB"/>
    <w:rsid w:val="007B3BDF"/>
    <w:rsid w:val="007B437E"/>
    <w:rsid w:val="007D1622"/>
    <w:rsid w:val="007D5868"/>
    <w:rsid w:val="007E3631"/>
    <w:rsid w:val="007F18A9"/>
    <w:rsid w:val="007F7DEE"/>
    <w:rsid w:val="00807545"/>
    <w:rsid w:val="008104E9"/>
    <w:rsid w:val="00811DC1"/>
    <w:rsid w:val="00816549"/>
    <w:rsid w:val="00823203"/>
    <w:rsid w:val="00826404"/>
    <w:rsid w:val="00826E0D"/>
    <w:rsid w:val="008321B7"/>
    <w:rsid w:val="00832706"/>
    <w:rsid w:val="008328C9"/>
    <w:rsid w:val="00832A8B"/>
    <w:rsid w:val="00840348"/>
    <w:rsid w:val="00847A66"/>
    <w:rsid w:val="00875400"/>
    <w:rsid w:val="008875C8"/>
    <w:rsid w:val="00890B66"/>
    <w:rsid w:val="00894425"/>
    <w:rsid w:val="008A0DE9"/>
    <w:rsid w:val="008A5CCA"/>
    <w:rsid w:val="008B2F5B"/>
    <w:rsid w:val="008B73B0"/>
    <w:rsid w:val="008C0547"/>
    <w:rsid w:val="008C52B2"/>
    <w:rsid w:val="008C7651"/>
    <w:rsid w:val="008D1320"/>
    <w:rsid w:val="008F2F3F"/>
    <w:rsid w:val="008F48BC"/>
    <w:rsid w:val="00917CAC"/>
    <w:rsid w:val="00927392"/>
    <w:rsid w:val="00931864"/>
    <w:rsid w:val="0093353A"/>
    <w:rsid w:val="009622A4"/>
    <w:rsid w:val="00963786"/>
    <w:rsid w:val="00964404"/>
    <w:rsid w:val="0097550F"/>
    <w:rsid w:val="009767B7"/>
    <w:rsid w:val="00996C78"/>
    <w:rsid w:val="009977BC"/>
    <w:rsid w:val="009A2D8D"/>
    <w:rsid w:val="009B2829"/>
    <w:rsid w:val="009B6142"/>
    <w:rsid w:val="009B77BD"/>
    <w:rsid w:val="009C0921"/>
    <w:rsid w:val="009F4568"/>
    <w:rsid w:val="009F6C32"/>
    <w:rsid w:val="00A00A7B"/>
    <w:rsid w:val="00A0428A"/>
    <w:rsid w:val="00A0615A"/>
    <w:rsid w:val="00A1158A"/>
    <w:rsid w:val="00A141C3"/>
    <w:rsid w:val="00A26228"/>
    <w:rsid w:val="00A26A77"/>
    <w:rsid w:val="00A328CB"/>
    <w:rsid w:val="00A44A4F"/>
    <w:rsid w:val="00A44D1B"/>
    <w:rsid w:val="00A54545"/>
    <w:rsid w:val="00A56C60"/>
    <w:rsid w:val="00A648ED"/>
    <w:rsid w:val="00A661DB"/>
    <w:rsid w:val="00A8110A"/>
    <w:rsid w:val="00A93209"/>
    <w:rsid w:val="00AA3DBD"/>
    <w:rsid w:val="00AA5046"/>
    <w:rsid w:val="00AB3833"/>
    <w:rsid w:val="00AB42E9"/>
    <w:rsid w:val="00AB7384"/>
    <w:rsid w:val="00AC0A69"/>
    <w:rsid w:val="00AE4430"/>
    <w:rsid w:val="00AE63E0"/>
    <w:rsid w:val="00AF7DC6"/>
    <w:rsid w:val="00B008FB"/>
    <w:rsid w:val="00B1252E"/>
    <w:rsid w:val="00B3661E"/>
    <w:rsid w:val="00B37FAA"/>
    <w:rsid w:val="00B4093E"/>
    <w:rsid w:val="00B4133F"/>
    <w:rsid w:val="00B46C87"/>
    <w:rsid w:val="00B53896"/>
    <w:rsid w:val="00B56FEE"/>
    <w:rsid w:val="00B57414"/>
    <w:rsid w:val="00B65002"/>
    <w:rsid w:val="00B92ADA"/>
    <w:rsid w:val="00B93E43"/>
    <w:rsid w:val="00BA3927"/>
    <w:rsid w:val="00BA5191"/>
    <w:rsid w:val="00BB1AFD"/>
    <w:rsid w:val="00BD0370"/>
    <w:rsid w:val="00BD0BAF"/>
    <w:rsid w:val="00BE0AC4"/>
    <w:rsid w:val="00BE17E3"/>
    <w:rsid w:val="00BE315F"/>
    <w:rsid w:val="00BE63CD"/>
    <w:rsid w:val="00BF559A"/>
    <w:rsid w:val="00C1064D"/>
    <w:rsid w:val="00C13167"/>
    <w:rsid w:val="00C25E55"/>
    <w:rsid w:val="00C27594"/>
    <w:rsid w:val="00C42C08"/>
    <w:rsid w:val="00C44725"/>
    <w:rsid w:val="00C51E3B"/>
    <w:rsid w:val="00C534D2"/>
    <w:rsid w:val="00C639B4"/>
    <w:rsid w:val="00C7200C"/>
    <w:rsid w:val="00C72414"/>
    <w:rsid w:val="00C80876"/>
    <w:rsid w:val="00C84BEB"/>
    <w:rsid w:val="00C876A8"/>
    <w:rsid w:val="00C92C5F"/>
    <w:rsid w:val="00C93C77"/>
    <w:rsid w:val="00C93D15"/>
    <w:rsid w:val="00C9621E"/>
    <w:rsid w:val="00CA200E"/>
    <w:rsid w:val="00CA4549"/>
    <w:rsid w:val="00CC671A"/>
    <w:rsid w:val="00CD5D37"/>
    <w:rsid w:val="00CE0EBA"/>
    <w:rsid w:val="00CE7AA4"/>
    <w:rsid w:val="00D031F2"/>
    <w:rsid w:val="00D14E28"/>
    <w:rsid w:val="00D208CF"/>
    <w:rsid w:val="00D21015"/>
    <w:rsid w:val="00D43F65"/>
    <w:rsid w:val="00D440E5"/>
    <w:rsid w:val="00D54ACE"/>
    <w:rsid w:val="00D56E42"/>
    <w:rsid w:val="00D57A4B"/>
    <w:rsid w:val="00D60D7B"/>
    <w:rsid w:val="00D622B6"/>
    <w:rsid w:val="00D63E38"/>
    <w:rsid w:val="00D720F5"/>
    <w:rsid w:val="00D72FDA"/>
    <w:rsid w:val="00D76227"/>
    <w:rsid w:val="00D8356B"/>
    <w:rsid w:val="00D90519"/>
    <w:rsid w:val="00D93291"/>
    <w:rsid w:val="00D93D74"/>
    <w:rsid w:val="00D965B9"/>
    <w:rsid w:val="00DA1240"/>
    <w:rsid w:val="00DA4306"/>
    <w:rsid w:val="00DC16D4"/>
    <w:rsid w:val="00DC5CA0"/>
    <w:rsid w:val="00DD0211"/>
    <w:rsid w:val="00DE595E"/>
    <w:rsid w:val="00DF05FD"/>
    <w:rsid w:val="00DF2386"/>
    <w:rsid w:val="00E231D3"/>
    <w:rsid w:val="00E32F04"/>
    <w:rsid w:val="00E34A13"/>
    <w:rsid w:val="00E40462"/>
    <w:rsid w:val="00E40C43"/>
    <w:rsid w:val="00E418F7"/>
    <w:rsid w:val="00E55D0D"/>
    <w:rsid w:val="00E673F4"/>
    <w:rsid w:val="00E67A4B"/>
    <w:rsid w:val="00E67B0B"/>
    <w:rsid w:val="00E71B9A"/>
    <w:rsid w:val="00E72FBD"/>
    <w:rsid w:val="00E811C1"/>
    <w:rsid w:val="00E81F04"/>
    <w:rsid w:val="00E82C1C"/>
    <w:rsid w:val="00E870F9"/>
    <w:rsid w:val="00E8793D"/>
    <w:rsid w:val="00E955C5"/>
    <w:rsid w:val="00EB6EED"/>
    <w:rsid w:val="00EB72B1"/>
    <w:rsid w:val="00EC1D38"/>
    <w:rsid w:val="00EC3B02"/>
    <w:rsid w:val="00ED1E74"/>
    <w:rsid w:val="00ED40E5"/>
    <w:rsid w:val="00EE4AB4"/>
    <w:rsid w:val="00EF177B"/>
    <w:rsid w:val="00EF64A4"/>
    <w:rsid w:val="00F030D1"/>
    <w:rsid w:val="00F372A6"/>
    <w:rsid w:val="00F45498"/>
    <w:rsid w:val="00F4729D"/>
    <w:rsid w:val="00F516B9"/>
    <w:rsid w:val="00F555BB"/>
    <w:rsid w:val="00F56309"/>
    <w:rsid w:val="00F64F85"/>
    <w:rsid w:val="00F71A8B"/>
    <w:rsid w:val="00F83C5B"/>
    <w:rsid w:val="00F91836"/>
    <w:rsid w:val="00F94073"/>
    <w:rsid w:val="00F95D5B"/>
    <w:rsid w:val="00FA31E6"/>
    <w:rsid w:val="00FC2AA7"/>
    <w:rsid w:val="00FC55C0"/>
    <w:rsid w:val="00FC7013"/>
    <w:rsid w:val="00FD49D2"/>
    <w:rsid w:val="00FE1603"/>
    <w:rsid w:val="00FE2EBE"/>
    <w:rsid w:val="00FE4909"/>
    <w:rsid w:val="00FE772D"/>
    <w:rsid w:val="00FF23AA"/>
    <w:rsid w:val="00FF6A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b/>
      <w:kern w:val="28"/>
      <w:u w:val="single"/>
    </w:rPr>
  </w:style>
  <w:style w:type="paragraph" w:styleId="Overskrift2">
    <w:name w:val="heading 2"/>
    <w:basedOn w:val="Normal"/>
    <w:next w:val="Normal"/>
    <w:link w:val="Overskrift2Tegn"/>
    <w:qFormat/>
    <w:pPr>
      <w:keepNext/>
      <w:spacing w:before="240" w:after="60"/>
      <w:outlineLvl w:val="1"/>
    </w:pPr>
    <w:rPr>
      <w:b/>
    </w:rPr>
  </w:style>
  <w:style w:type="paragraph" w:styleId="Overskrift3">
    <w:name w:val="heading 3"/>
    <w:basedOn w:val="Normal"/>
    <w:next w:val="Normal"/>
    <w:qFormat/>
    <w:pPr>
      <w:keepNext/>
      <w:spacing w:before="240" w:after="60"/>
      <w:outlineLvl w:val="2"/>
    </w:pPr>
  </w:style>
  <w:style w:type="paragraph" w:styleId="Overskrift4">
    <w:name w:val="heading 4"/>
    <w:basedOn w:val="Normal"/>
    <w:next w:val="Normal"/>
    <w:qFormat/>
    <w:rsid w:val="0003655E"/>
    <w:pPr>
      <w:keepNext/>
      <w:tabs>
        <w:tab w:val="num" w:pos="1800"/>
      </w:tabs>
      <w:spacing w:before="240" w:after="60"/>
      <w:ind w:left="1728" w:hanging="648"/>
      <w:outlineLvl w:val="3"/>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paragraph" w:styleId="Bobletekst">
    <w:name w:val="Balloon Text"/>
    <w:basedOn w:val="Normal"/>
    <w:semiHidden/>
    <w:rsid w:val="00E231D3"/>
    <w:rPr>
      <w:rFonts w:ascii="Tahoma" w:hAnsi="Tahoma" w:cs="Tahoma"/>
      <w:sz w:val="16"/>
      <w:szCs w:val="16"/>
    </w:rPr>
  </w:style>
  <w:style w:type="character" w:styleId="Hyperkobling">
    <w:name w:val="Hyperlink"/>
    <w:rsid w:val="000643B3"/>
    <w:rPr>
      <w:color w:val="0000FF"/>
      <w:u w:val="single"/>
    </w:rPr>
  </w:style>
  <w:style w:type="character" w:styleId="Merknadsreferanse">
    <w:name w:val="annotation reference"/>
    <w:semiHidden/>
    <w:rsid w:val="00BB1AFD"/>
    <w:rPr>
      <w:sz w:val="16"/>
      <w:szCs w:val="16"/>
    </w:rPr>
  </w:style>
  <w:style w:type="paragraph" w:styleId="Merknadstekst">
    <w:name w:val="annotation text"/>
    <w:basedOn w:val="Normal"/>
    <w:semiHidden/>
    <w:rsid w:val="00BB1AFD"/>
    <w:rPr>
      <w:sz w:val="20"/>
    </w:rPr>
  </w:style>
  <w:style w:type="paragraph" w:styleId="Kommentaremne">
    <w:name w:val="annotation subject"/>
    <w:basedOn w:val="Merknadstekst"/>
    <w:next w:val="Merknadstekst"/>
    <w:semiHidden/>
    <w:rsid w:val="00BB1AFD"/>
    <w:rPr>
      <w:b/>
      <w:bCs/>
    </w:rPr>
  </w:style>
  <w:style w:type="paragraph" w:styleId="Brdtekst">
    <w:name w:val="Body Text"/>
    <w:basedOn w:val="Normal"/>
    <w:link w:val="BrdtekstTegn"/>
    <w:rsid w:val="00811DC1"/>
    <w:pPr>
      <w:spacing w:after="120"/>
    </w:pPr>
  </w:style>
  <w:style w:type="character" w:customStyle="1" w:styleId="BrdtekstTegn">
    <w:name w:val="Brødtekst Tegn"/>
    <w:link w:val="Brdtekst"/>
    <w:rsid w:val="00811DC1"/>
    <w:rPr>
      <w:sz w:val="24"/>
      <w:lang w:val="nb-NO" w:eastAsia="nb-NO" w:bidi="ar-SA"/>
    </w:rPr>
  </w:style>
  <w:style w:type="paragraph" w:styleId="Fotnotetekst">
    <w:name w:val="footnote text"/>
    <w:basedOn w:val="Normal"/>
    <w:semiHidden/>
    <w:rsid w:val="00FF6A0C"/>
    <w:rPr>
      <w:sz w:val="20"/>
    </w:rPr>
  </w:style>
  <w:style w:type="character" w:styleId="Fotnotereferanse">
    <w:name w:val="footnote reference"/>
    <w:semiHidden/>
    <w:rsid w:val="00FF6A0C"/>
    <w:rPr>
      <w:vertAlign w:val="superscript"/>
    </w:rPr>
  </w:style>
  <w:style w:type="character" w:customStyle="1" w:styleId="Overskrift2Tegn">
    <w:name w:val="Overskrift 2 Tegn"/>
    <w:link w:val="Overskrift2"/>
    <w:rsid w:val="00134AC0"/>
    <w:rPr>
      <w:b/>
      <w:sz w:val="24"/>
      <w:lang w:val="nb-NO" w:eastAsia="nb-NO" w:bidi="ar-SA"/>
    </w:rPr>
  </w:style>
  <w:style w:type="character" w:styleId="Fulgthyperkobling">
    <w:name w:val="FollowedHyperlink"/>
    <w:basedOn w:val="Standardskriftforavsnitt"/>
    <w:rsid w:val="003C3B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b/>
      <w:kern w:val="28"/>
      <w:u w:val="single"/>
    </w:rPr>
  </w:style>
  <w:style w:type="paragraph" w:styleId="Overskrift2">
    <w:name w:val="heading 2"/>
    <w:basedOn w:val="Normal"/>
    <w:next w:val="Normal"/>
    <w:link w:val="Overskrift2Tegn"/>
    <w:qFormat/>
    <w:pPr>
      <w:keepNext/>
      <w:spacing w:before="240" w:after="60"/>
      <w:outlineLvl w:val="1"/>
    </w:pPr>
    <w:rPr>
      <w:b/>
    </w:rPr>
  </w:style>
  <w:style w:type="paragraph" w:styleId="Overskrift3">
    <w:name w:val="heading 3"/>
    <w:basedOn w:val="Normal"/>
    <w:next w:val="Normal"/>
    <w:qFormat/>
    <w:pPr>
      <w:keepNext/>
      <w:spacing w:before="240" w:after="60"/>
      <w:outlineLvl w:val="2"/>
    </w:pPr>
  </w:style>
  <w:style w:type="paragraph" w:styleId="Overskrift4">
    <w:name w:val="heading 4"/>
    <w:basedOn w:val="Normal"/>
    <w:next w:val="Normal"/>
    <w:qFormat/>
    <w:rsid w:val="0003655E"/>
    <w:pPr>
      <w:keepNext/>
      <w:tabs>
        <w:tab w:val="num" w:pos="1800"/>
      </w:tabs>
      <w:spacing w:before="240" w:after="60"/>
      <w:ind w:left="1728" w:hanging="648"/>
      <w:outlineLvl w:val="3"/>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paragraph" w:styleId="Bobletekst">
    <w:name w:val="Balloon Text"/>
    <w:basedOn w:val="Normal"/>
    <w:semiHidden/>
    <w:rsid w:val="00E231D3"/>
    <w:rPr>
      <w:rFonts w:ascii="Tahoma" w:hAnsi="Tahoma" w:cs="Tahoma"/>
      <w:sz w:val="16"/>
      <w:szCs w:val="16"/>
    </w:rPr>
  </w:style>
  <w:style w:type="character" w:styleId="Hyperkobling">
    <w:name w:val="Hyperlink"/>
    <w:rsid w:val="000643B3"/>
    <w:rPr>
      <w:color w:val="0000FF"/>
      <w:u w:val="single"/>
    </w:rPr>
  </w:style>
  <w:style w:type="character" w:styleId="Merknadsreferanse">
    <w:name w:val="annotation reference"/>
    <w:semiHidden/>
    <w:rsid w:val="00BB1AFD"/>
    <w:rPr>
      <w:sz w:val="16"/>
      <w:szCs w:val="16"/>
    </w:rPr>
  </w:style>
  <w:style w:type="paragraph" w:styleId="Merknadstekst">
    <w:name w:val="annotation text"/>
    <w:basedOn w:val="Normal"/>
    <w:semiHidden/>
    <w:rsid w:val="00BB1AFD"/>
    <w:rPr>
      <w:sz w:val="20"/>
    </w:rPr>
  </w:style>
  <w:style w:type="paragraph" w:styleId="Kommentaremne">
    <w:name w:val="annotation subject"/>
    <w:basedOn w:val="Merknadstekst"/>
    <w:next w:val="Merknadstekst"/>
    <w:semiHidden/>
    <w:rsid w:val="00BB1AFD"/>
    <w:rPr>
      <w:b/>
      <w:bCs/>
    </w:rPr>
  </w:style>
  <w:style w:type="paragraph" w:styleId="Brdtekst">
    <w:name w:val="Body Text"/>
    <w:basedOn w:val="Normal"/>
    <w:link w:val="BrdtekstTegn"/>
    <w:rsid w:val="00811DC1"/>
    <w:pPr>
      <w:spacing w:after="120"/>
    </w:pPr>
  </w:style>
  <w:style w:type="character" w:customStyle="1" w:styleId="BrdtekstTegn">
    <w:name w:val="Brødtekst Tegn"/>
    <w:link w:val="Brdtekst"/>
    <w:rsid w:val="00811DC1"/>
    <w:rPr>
      <w:sz w:val="24"/>
      <w:lang w:val="nb-NO" w:eastAsia="nb-NO" w:bidi="ar-SA"/>
    </w:rPr>
  </w:style>
  <w:style w:type="paragraph" w:styleId="Fotnotetekst">
    <w:name w:val="footnote text"/>
    <w:basedOn w:val="Normal"/>
    <w:semiHidden/>
    <w:rsid w:val="00FF6A0C"/>
    <w:rPr>
      <w:sz w:val="20"/>
    </w:rPr>
  </w:style>
  <w:style w:type="character" w:styleId="Fotnotereferanse">
    <w:name w:val="footnote reference"/>
    <w:semiHidden/>
    <w:rsid w:val="00FF6A0C"/>
    <w:rPr>
      <w:vertAlign w:val="superscript"/>
    </w:rPr>
  </w:style>
  <w:style w:type="character" w:customStyle="1" w:styleId="Overskrift2Tegn">
    <w:name w:val="Overskrift 2 Tegn"/>
    <w:link w:val="Overskrift2"/>
    <w:rsid w:val="00134AC0"/>
    <w:rPr>
      <w:b/>
      <w:sz w:val="24"/>
      <w:lang w:val="nb-NO" w:eastAsia="nb-NO" w:bidi="ar-SA"/>
    </w:rPr>
  </w:style>
  <w:style w:type="character" w:styleId="Fulgthyperkobling">
    <w:name w:val="FollowedHyperlink"/>
    <w:basedOn w:val="Standardskriftforavsnitt"/>
    <w:rsid w:val="003C3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nu.no/kollegiet/saker_prot/27.02.12web/6.12_vedlegg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maler\office97\noko\Styre-sa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Styre-sak.dot</Template>
  <TotalTime>0</TotalTime>
  <Pages>4</Pages>
  <Words>1672</Words>
  <Characters>9934</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Styrets årsberetning og årsregnskapet for 2003</vt:lpstr>
    </vt:vector>
  </TitlesOfParts>
  <Company>NTNU</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Styrets årsberetning og årsregnskapet for 2003</dc:title>
  <dc:subject>Kolegie notat</dc:subject>
  <dc:creator>Per-Arne Norevik</dc:creator>
  <cp:lastModifiedBy>Tore Hugubakken</cp:lastModifiedBy>
  <cp:revision>3</cp:revision>
  <cp:lastPrinted>2011-02-11T09:49:00Z</cp:lastPrinted>
  <dcterms:created xsi:type="dcterms:W3CDTF">2012-02-20T12:45:00Z</dcterms:created>
  <dcterms:modified xsi:type="dcterms:W3CDTF">2012-02-20T13:09:00Z</dcterms:modified>
</cp:coreProperties>
</file>