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6D" w:rsidRDefault="006E696D" w:rsidP="006E696D">
      <w:pPr>
        <w:pStyle w:val="Hode"/>
        <w:tabs>
          <w:tab w:val="right" w:pos="9809"/>
        </w:tabs>
        <w:spacing w:line="240" w:lineRule="exact"/>
        <w:jc w:val="both"/>
        <w:rPr>
          <w:b/>
        </w:rPr>
      </w:pPr>
      <w:r>
        <w:rPr>
          <w:b/>
        </w:rPr>
        <w:t>NTNU</w:t>
      </w:r>
      <w:r>
        <w:rPr>
          <w:b/>
        </w:rPr>
        <w:tab/>
      </w:r>
      <w:r w:rsidR="002D7AF0">
        <w:rPr>
          <w:b/>
        </w:rPr>
        <w:t>O</w:t>
      </w:r>
      <w:r>
        <w:rPr>
          <w:b/>
        </w:rPr>
        <w:t xml:space="preserve">-sak </w:t>
      </w:r>
      <w:bookmarkStart w:id="0" w:name="Ksak"/>
      <w:bookmarkEnd w:id="0"/>
      <w:r w:rsidR="00BC709A">
        <w:rPr>
          <w:b/>
        </w:rPr>
        <w:t>3</w:t>
      </w:r>
      <w:r>
        <w:rPr>
          <w:b/>
        </w:rPr>
        <w:t>/1</w:t>
      </w:r>
      <w:r w:rsidR="00F31262">
        <w:rPr>
          <w:b/>
        </w:rPr>
        <w:t>6</w:t>
      </w:r>
    </w:p>
    <w:p w:rsidR="006E696D" w:rsidRDefault="006E696D" w:rsidP="006E696D">
      <w:pPr>
        <w:pStyle w:val="Hode"/>
        <w:tabs>
          <w:tab w:val="right" w:pos="9809"/>
        </w:tabs>
        <w:spacing w:line="240" w:lineRule="exact"/>
        <w:jc w:val="both"/>
        <w:rPr>
          <w:b/>
        </w:rPr>
      </w:pPr>
      <w:r>
        <w:rPr>
          <w:b/>
        </w:rPr>
        <w:t>Norges teknisk-naturvitenskapelige</w:t>
      </w:r>
    </w:p>
    <w:p w:rsidR="006E696D" w:rsidRDefault="006E696D" w:rsidP="006E696D">
      <w:pPr>
        <w:pStyle w:val="Hode"/>
        <w:tabs>
          <w:tab w:val="right" w:pos="9809"/>
        </w:tabs>
        <w:spacing w:line="240" w:lineRule="exact"/>
        <w:jc w:val="both"/>
        <w:rPr>
          <w:b/>
        </w:rPr>
      </w:pPr>
      <w:r>
        <w:rPr>
          <w:b/>
        </w:rPr>
        <w:t>universitet</w:t>
      </w:r>
    </w:p>
    <w:p w:rsidR="006E696D" w:rsidRPr="0022278C" w:rsidRDefault="00E92A1F" w:rsidP="006E696D">
      <w:pPr>
        <w:tabs>
          <w:tab w:val="right" w:pos="9809"/>
        </w:tabs>
        <w:jc w:val="both"/>
        <w:rPr>
          <w:lang w:val="nb-NO"/>
        </w:rPr>
      </w:pPr>
      <w:bookmarkStart w:id="1" w:name="Dato"/>
      <w:bookmarkEnd w:id="1"/>
      <w:r>
        <w:rPr>
          <w:lang w:val="nb-NO"/>
        </w:rPr>
        <w:t>12</w:t>
      </w:r>
      <w:r w:rsidR="00190F9D" w:rsidRPr="0022278C">
        <w:rPr>
          <w:lang w:val="nb-NO"/>
        </w:rPr>
        <w:t>.</w:t>
      </w:r>
      <w:r w:rsidR="00F31262">
        <w:rPr>
          <w:lang w:val="nb-NO"/>
        </w:rPr>
        <w:t>01</w:t>
      </w:r>
      <w:r w:rsidR="006E696D" w:rsidRPr="0022278C">
        <w:rPr>
          <w:lang w:val="nb-NO"/>
        </w:rPr>
        <w:t>.201</w:t>
      </w:r>
      <w:bookmarkStart w:id="2" w:name="Init"/>
      <w:bookmarkEnd w:id="2"/>
      <w:r w:rsidR="00F31262">
        <w:rPr>
          <w:lang w:val="nb-NO"/>
        </w:rPr>
        <w:t>6</w:t>
      </w:r>
    </w:p>
    <w:p w:rsidR="006E696D" w:rsidRPr="0022278C" w:rsidRDefault="006E696D" w:rsidP="006E696D">
      <w:pPr>
        <w:autoSpaceDE w:val="0"/>
        <w:autoSpaceDN w:val="0"/>
        <w:adjustRightInd w:val="0"/>
        <w:jc w:val="both"/>
        <w:rPr>
          <w:lang w:val="nb-NO"/>
        </w:rPr>
      </w:pPr>
      <w:proofErr w:type="gramStart"/>
      <w:r w:rsidRPr="0022278C">
        <w:rPr>
          <w:lang w:val="nb-NO"/>
        </w:rPr>
        <w:t xml:space="preserve">Saksansvarlig: </w:t>
      </w:r>
      <w:r w:rsidR="006B2940">
        <w:rPr>
          <w:lang w:val="nb-NO"/>
        </w:rPr>
        <w:t xml:space="preserve"> </w:t>
      </w:r>
      <w:r w:rsidRPr="0022278C">
        <w:rPr>
          <w:lang w:val="nb-NO"/>
        </w:rPr>
        <w:t>Frank</w:t>
      </w:r>
      <w:proofErr w:type="gramEnd"/>
      <w:r w:rsidRPr="0022278C">
        <w:rPr>
          <w:lang w:val="nb-NO"/>
        </w:rPr>
        <w:t xml:space="preserve"> Arntsen</w:t>
      </w:r>
    </w:p>
    <w:p w:rsidR="006E696D" w:rsidRPr="00EE6890" w:rsidRDefault="006E696D" w:rsidP="006E696D">
      <w:pPr>
        <w:pStyle w:val="Hode"/>
        <w:tabs>
          <w:tab w:val="right" w:pos="9809"/>
        </w:tabs>
        <w:jc w:val="both"/>
        <w:rPr>
          <w:lang w:val="de-DE"/>
        </w:rPr>
      </w:pPr>
      <w:r w:rsidRPr="00EE6890">
        <w:rPr>
          <w:szCs w:val="24"/>
          <w:lang w:val="de-DE"/>
        </w:rPr>
        <w:t xml:space="preserve">Saksbehandler: </w:t>
      </w:r>
      <w:bookmarkStart w:id="3" w:name="Kode"/>
      <w:bookmarkEnd w:id="3"/>
      <w:r w:rsidR="00F31262" w:rsidRPr="00EE6890">
        <w:rPr>
          <w:szCs w:val="24"/>
          <w:lang w:val="de-DE"/>
        </w:rPr>
        <w:t>Lindis Burheim</w:t>
      </w:r>
      <w:r w:rsidRPr="00EE6890">
        <w:rPr>
          <w:lang w:val="de-DE"/>
        </w:rPr>
        <w:tab/>
        <w:t xml:space="preserve"> </w:t>
      </w:r>
      <w:bookmarkStart w:id="4" w:name="para"/>
      <w:bookmarkEnd w:id="4"/>
    </w:p>
    <w:p w:rsidR="006E696D" w:rsidRPr="00EE6890" w:rsidRDefault="006E696D" w:rsidP="006E696D">
      <w:pPr>
        <w:pStyle w:val="Hode"/>
        <w:tabs>
          <w:tab w:val="right" w:pos="9809"/>
        </w:tabs>
        <w:spacing w:line="240" w:lineRule="exact"/>
        <w:jc w:val="both"/>
        <w:rPr>
          <w:b/>
          <w:lang w:val="de-DE"/>
        </w:rPr>
      </w:pPr>
    </w:p>
    <w:p w:rsidR="006E696D" w:rsidRPr="00EE6890" w:rsidRDefault="006E696D" w:rsidP="006E696D">
      <w:pPr>
        <w:pStyle w:val="Hode"/>
        <w:tabs>
          <w:tab w:val="right" w:pos="9809"/>
        </w:tabs>
        <w:spacing w:line="240" w:lineRule="exact"/>
        <w:jc w:val="both"/>
        <w:rPr>
          <w:lang w:val="de-DE"/>
        </w:rPr>
      </w:pPr>
    </w:p>
    <w:p w:rsidR="006E696D" w:rsidRPr="00EE6890" w:rsidRDefault="006E696D" w:rsidP="006E696D">
      <w:pPr>
        <w:pStyle w:val="Hode"/>
        <w:tabs>
          <w:tab w:val="right" w:pos="9809"/>
        </w:tabs>
        <w:spacing w:line="240" w:lineRule="exact"/>
        <w:jc w:val="both"/>
        <w:rPr>
          <w:lang w:val="de-DE"/>
        </w:rPr>
      </w:pPr>
    </w:p>
    <w:p w:rsidR="006E696D" w:rsidRPr="00EE6890" w:rsidRDefault="006E696D" w:rsidP="006E696D">
      <w:pPr>
        <w:pStyle w:val="Hode"/>
        <w:tabs>
          <w:tab w:val="right" w:pos="9809"/>
        </w:tabs>
        <w:spacing w:line="240" w:lineRule="exact"/>
        <w:jc w:val="both"/>
        <w:rPr>
          <w:lang w:val="de-DE"/>
        </w:rPr>
      </w:pPr>
    </w:p>
    <w:p w:rsidR="006E696D" w:rsidRPr="00EE6890" w:rsidRDefault="006E696D" w:rsidP="00637EDA">
      <w:pPr>
        <w:tabs>
          <w:tab w:val="right" w:pos="9809"/>
        </w:tabs>
        <w:jc w:val="center"/>
        <w:rPr>
          <w:b/>
          <w:sz w:val="26"/>
          <w:lang w:val="de-DE"/>
        </w:rPr>
      </w:pPr>
      <w:r w:rsidRPr="00EE6890">
        <w:rPr>
          <w:b/>
          <w:sz w:val="26"/>
          <w:lang w:val="de-DE"/>
        </w:rPr>
        <w:t>N O T A T</w:t>
      </w:r>
    </w:p>
    <w:p w:rsidR="006E696D" w:rsidRPr="00EE6890" w:rsidRDefault="006E696D" w:rsidP="006E696D">
      <w:pPr>
        <w:tabs>
          <w:tab w:val="right" w:pos="9809"/>
        </w:tabs>
        <w:jc w:val="both"/>
        <w:rPr>
          <w:b/>
          <w:lang w:val="de-DE"/>
        </w:rPr>
      </w:pPr>
    </w:p>
    <w:p w:rsidR="006E696D" w:rsidRPr="00E128EC" w:rsidRDefault="006E696D" w:rsidP="006E696D">
      <w:pPr>
        <w:tabs>
          <w:tab w:val="left" w:pos="567"/>
          <w:tab w:val="right" w:pos="9809"/>
        </w:tabs>
        <w:jc w:val="both"/>
        <w:rPr>
          <w:lang w:val="nb-NO"/>
        </w:rPr>
      </w:pPr>
      <w:proofErr w:type="gramStart"/>
      <w:r w:rsidRPr="00E128EC">
        <w:rPr>
          <w:lang w:val="nb-NO"/>
        </w:rPr>
        <w:t>Til:</w:t>
      </w:r>
      <w:r w:rsidRPr="00E128EC">
        <w:rPr>
          <w:lang w:val="nb-NO"/>
        </w:rPr>
        <w:tab/>
      </w:r>
      <w:proofErr w:type="gramEnd"/>
      <w:r w:rsidRPr="00E128EC">
        <w:rPr>
          <w:lang w:val="nb-NO"/>
        </w:rPr>
        <w:t>Styret</w:t>
      </w:r>
    </w:p>
    <w:p w:rsidR="006E696D" w:rsidRPr="00E128EC" w:rsidRDefault="006E696D" w:rsidP="006E696D">
      <w:pPr>
        <w:tabs>
          <w:tab w:val="left" w:pos="567"/>
          <w:tab w:val="right" w:pos="9809"/>
        </w:tabs>
        <w:jc w:val="both"/>
        <w:rPr>
          <w:lang w:val="nb-NO"/>
        </w:rPr>
      </w:pPr>
      <w:proofErr w:type="gramStart"/>
      <w:r w:rsidRPr="00E128EC">
        <w:rPr>
          <w:lang w:val="nb-NO"/>
        </w:rPr>
        <w:t>Fra:</w:t>
      </w:r>
      <w:r w:rsidRPr="00E128EC">
        <w:rPr>
          <w:lang w:val="nb-NO"/>
        </w:rPr>
        <w:tab/>
      </w:r>
      <w:proofErr w:type="gramEnd"/>
      <w:r w:rsidRPr="00E128EC">
        <w:rPr>
          <w:lang w:val="nb-NO"/>
        </w:rPr>
        <w:t>Rektor</w:t>
      </w:r>
    </w:p>
    <w:p w:rsidR="00025084" w:rsidRPr="00025084" w:rsidRDefault="006E696D" w:rsidP="00025084">
      <w:pPr>
        <w:tabs>
          <w:tab w:val="left" w:pos="567"/>
          <w:tab w:val="right" w:pos="9809"/>
        </w:tabs>
        <w:ind w:left="567" w:hanging="567"/>
        <w:jc w:val="both"/>
        <w:rPr>
          <w:b/>
          <w:lang w:val="nb-NO"/>
        </w:rPr>
      </w:pPr>
      <w:proofErr w:type="gramStart"/>
      <w:r w:rsidRPr="00C45DE3">
        <w:rPr>
          <w:b/>
          <w:lang w:val="nb-NO"/>
        </w:rPr>
        <w:t>Om:</w:t>
      </w:r>
      <w:r w:rsidRPr="00C45DE3">
        <w:rPr>
          <w:b/>
          <w:lang w:val="nb-NO"/>
        </w:rPr>
        <w:tab/>
      </w:r>
      <w:bookmarkStart w:id="5" w:name="Om"/>
      <w:bookmarkEnd w:id="5"/>
      <w:proofErr w:type="gramEnd"/>
      <w:r w:rsidR="00F74D37" w:rsidRPr="00C45DE3">
        <w:rPr>
          <w:b/>
          <w:lang w:val="nb-NO"/>
        </w:rPr>
        <w:t>Vedlikehold</w:t>
      </w:r>
      <w:r w:rsidR="0022232B" w:rsidRPr="00C45DE3">
        <w:rPr>
          <w:b/>
          <w:lang w:val="nb-NO"/>
        </w:rPr>
        <w:t xml:space="preserve"> og vedlikeholdsetterslep</w:t>
      </w:r>
      <w:r w:rsidR="00C45DE3">
        <w:rPr>
          <w:b/>
          <w:lang w:val="nb-NO"/>
        </w:rPr>
        <w:t xml:space="preserve"> – status og planer</w:t>
      </w:r>
      <w:r w:rsidR="00323B4C">
        <w:rPr>
          <w:b/>
          <w:lang w:val="nb-NO"/>
        </w:rPr>
        <w:t xml:space="preserve"> </w:t>
      </w:r>
    </w:p>
    <w:p w:rsidR="00025084" w:rsidRPr="0007313C" w:rsidRDefault="00025084" w:rsidP="00025084">
      <w:pPr>
        <w:keepNext/>
        <w:keepLines/>
        <w:spacing w:before="240"/>
        <w:outlineLvl w:val="0"/>
        <w:rPr>
          <w:rFonts w:eastAsiaTheme="majorEastAsia"/>
          <w:b/>
          <w:bCs/>
          <w:color w:val="000000" w:themeColor="text1"/>
          <w:sz w:val="28"/>
          <w:szCs w:val="28"/>
          <w:lang w:val="nb-NO"/>
        </w:rPr>
      </w:pPr>
      <w:r w:rsidRPr="0007313C">
        <w:rPr>
          <w:rFonts w:eastAsiaTheme="majorEastAsia"/>
          <w:b/>
          <w:bCs/>
          <w:color w:val="000000" w:themeColor="text1"/>
          <w:sz w:val="28"/>
          <w:szCs w:val="28"/>
          <w:lang w:val="nb-NO"/>
        </w:rPr>
        <w:t>Hensikt</w:t>
      </w:r>
    </w:p>
    <w:p w:rsidR="00025084" w:rsidRPr="0007313C" w:rsidRDefault="00025084" w:rsidP="00025084">
      <w:pPr>
        <w:rPr>
          <w:lang w:val="nb-NO"/>
        </w:rPr>
      </w:pPr>
    </w:p>
    <w:p w:rsidR="00025084" w:rsidRPr="0007313C" w:rsidRDefault="00025084" w:rsidP="00025084">
      <w:pPr>
        <w:rPr>
          <w:lang w:val="nb-NO"/>
        </w:rPr>
      </w:pPr>
      <w:r w:rsidRPr="0007313C">
        <w:rPr>
          <w:lang w:val="nb-NO"/>
        </w:rPr>
        <w:t>Hensikten med denne saken er å orientere styret om status for arbeidet med vedlikehold, utvikling og vedlikeholdsetterslep i NTNUs egen bygningsmasse. I tillegg gis det en kort orientering om vedlikehold og utvikling i arealer der NTNU er leietaker.</w:t>
      </w:r>
    </w:p>
    <w:p w:rsidR="00025084" w:rsidRPr="0007313C" w:rsidRDefault="00025084" w:rsidP="00025084">
      <w:pPr>
        <w:rPr>
          <w:rStyle w:val="Sterk"/>
          <w:b w:val="0"/>
          <w:bCs w:val="0"/>
          <w:lang w:val="nb-NO"/>
        </w:rPr>
      </w:pPr>
      <w:r w:rsidRPr="0007313C">
        <w:rPr>
          <w:lang w:val="nb-NO"/>
        </w:rPr>
        <w:br/>
        <w:t>Det vises også til styresak O-sak 30/15 – Campusprosjekt i nye NTNU – orientering om prosjekt og videre organisering, som omhandler prosjekter som i det videre benevnes som campusprosjekt. Foreliggende sak omhandler arbeidet med planer for vedlikehold og utvikling av den øvrige bygningsmassen.</w:t>
      </w:r>
      <w:r w:rsidRPr="0007313C">
        <w:rPr>
          <w:lang w:val="nb-NO"/>
        </w:rPr>
        <w:br/>
      </w:r>
      <w:bookmarkStart w:id="6" w:name="Start"/>
      <w:bookmarkEnd w:id="6"/>
    </w:p>
    <w:p w:rsidR="00367CA4" w:rsidRPr="0007313C" w:rsidRDefault="006E696D" w:rsidP="00367CA4">
      <w:pPr>
        <w:autoSpaceDE w:val="0"/>
        <w:autoSpaceDN w:val="0"/>
        <w:adjustRightInd w:val="0"/>
        <w:rPr>
          <w:rStyle w:val="Sterk"/>
          <w:sz w:val="28"/>
          <w:lang w:val="nb-NO"/>
        </w:rPr>
      </w:pPr>
      <w:r w:rsidRPr="0007313C">
        <w:rPr>
          <w:rStyle w:val="Sterk"/>
          <w:sz w:val="28"/>
          <w:lang w:val="nb-NO"/>
        </w:rPr>
        <w:t>Bakgrunn</w:t>
      </w:r>
    </w:p>
    <w:p w:rsidR="00025084" w:rsidRPr="0007313C" w:rsidRDefault="00025084" w:rsidP="00754209">
      <w:pPr>
        <w:autoSpaceDE w:val="0"/>
        <w:autoSpaceDN w:val="0"/>
        <w:adjustRightInd w:val="0"/>
        <w:rPr>
          <w:sz w:val="23"/>
          <w:szCs w:val="23"/>
          <w:lang w:val="nb-NO"/>
        </w:rPr>
      </w:pPr>
    </w:p>
    <w:p w:rsidR="008E06F0" w:rsidRPr="0007313C" w:rsidRDefault="00367CA4" w:rsidP="00754209">
      <w:pPr>
        <w:autoSpaceDE w:val="0"/>
        <w:autoSpaceDN w:val="0"/>
        <w:adjustRightInd w:val="0"/>
        <w:rPr>
          <w:sz w:val="23"/>
          <w:szCs w:val="23"/>
          <w:lang w:val="nb-NO"/>
        </w:rPr>
      </w:pPr>
      <w:r w:rsidRPr="0007313C">
        <w:rPr>
          <w:sz w:val="23"/>
          <w:szCs w:val="23"/>
          <w:lang w:val="nb-NO"/>
        </w:rPr>
        <w:t xml:space="preserve">NTNU </w:t>
      </w:r>
      <w:r w:rsidR="00917254" w:rsidRPr="0007313C">
        <w:rPr>
          <w:sz w:val="23"/>
          <w:szCs w:val="23"/>
          <w:lang w:val="nb-NO"/>
        </w:rPr>
        <w:t>eier og forvalter en</w:t>
      </w:r>
      <w:r w:rsidR="003D0E39" w:rsidRPr="0007313C">
        <w:rPr>
          <w:sz w:val="23"/>
          <w:szCs w:val="23"/>
          <w:lang w:val="nb-NO"/>
        </w:rPr>
        <w:t xml:space="preserve"> bygningsmasse på </w:t>
      </w:r>
      <w:r w:rsidR="00746722" w:rsidRPr="0007313C">
        <w:rPr>
          <w:sz w:val="23"/>
          <w:szCs w:val="23"/>
          <w:lang w:val="nb-NO"/>
        </w:rPr>
        <w:t xml:space="preserve">ca. </w:t>
      </w:r>
      <w:r w:rsidR="00917254" w:rsidRPr="0007313C">
        <w:rPr>
          <w:sz w:val="23"/>
          <w:szCs w:val="23"/>
          <w:lang w:val="nb-NO"/>
        </w:rPr>
        <w:t>530</w:t>
      </w:r>
      <w:r w:rsidR="00802A1C" w:rsidRPr="0007313C">
        <w:rPr>
          <w:sz w:val="23"/>
          <w:szCs w:val="23"/>
          <w:lang w:val="nb-NO"/>
        </w:rPr>
        <w:t> 000 kvm</w:t>
      </w:r>
      <w:r w:rsidR="006706F8" w:rsidRPr="0007313C">
        <w:rPr>
          <w:sz w:val="23"/>
          <w:szCs w:val="23"/>
          <w:lang w:val="nb-NO"/>
        </w:rPr>
        <w:t>.</w:t>
      </w:r>
      <w:r w:rsidR="00BC4D2F" w:rsidRPr="0007313C">
        <w:rPr>
          <w:sz w:val="23"/>
          <w:szCs w:val="23"/>
          <w:lang w:val="nb-NO"/>
        </w:rPr>
        <w:t xml:space="preserve"> Bygningenes gjennomsnittsalder er 44 år. </w:t>
      </w:r>
      <w:r w:rsidR="00E2495F" w:rsidRPr="0007313C">
        <w:rPr>
          <w:sz w:val="23"/>
          <w:szCs w:val="23"/>
          <w:lang w:val="nb-NO"/>
        </w:rPr>
        <w:t>I tillegg disponerer</w:t>
      </w:r>
      <w:r w:rsidR="00BC4D2F" w:rsidRPr="0007313C">
        <w:rPr>
          <w:sz w:val="23"/>
          <w:szCs w:val="23"/>
          <w:lang w:val="nb-NO"/>
        </w:rPr>
        <w:t xml:space="preserve"> NTNU</w:t>
      </w:r>
      <w:r w:rsidR="00E2495F" w:rsidRPr="0007313C">
        <w:rPr>
          <w:sz w:val="23"/>
          <w:szCs w:val="23"/>
          <w:lang w:val="nb-NO"/>
        </w:rPr>
        <w:t xml:space="preserve"> leide areal som, etter</w:t>
      </w:r>
      <w:r w:rsidR="00802A1C" w:rsidRPr="0007313C">
        <w:rPr>
          <w:sz w:val="23"/>
          <w:szCs w:val="23"/>
          <w:lang w:val="nb-NO"/>
        </w:rPr>
        <w:t xml:space="preserve"> fusjonen med </w:t>
      </w:r>
      <w:r w:rsidR="0055019B" w:rsidRPr="0007313C">
        <w:rPr>
          <w:sz w:val="23"/>
          <w:szCs w:val="23"/>
          <w:lang w:val="nb-NO"/>
        </w:rPr>
        <w:t xml:space="preserve">de tre </w:t>
      </w:r>
      <w:r w:rsidR="00802A1C" w:rsidRPr="0007313C">
        <w:rPr>
          <w:sz w:val="23"/>
          <w:szCs w:val="23"/>
          <w:lang w:val="nb-NO"/>
        </w:rPr>
        <w:t>høgskolene</w:t>
      </w:r>
      <w:r w:rsidR="00E2495F" w:rsidRPr="0007313C">
        <w:rPr>
          <w:sz w:val="23"/>
          <w:szCs w:val="23"/>
          <w:lang w:val="nb-NO"/>
        </w:rPr>
        <w:t xml:space="preserve">, har økt fra ca. 76 000 kvm til ca. </w:t>
      </w:r>
      <w:r w:rsidR="00550AE2" w:rsidRPr="0007313C">
        <w:rPr>
          <w:sz w:val="23"/>
          <w:szCs w:val="23"/>
          <w:lang w:val="nb-NO"/>
        </w:rPr>
        <w:t>2</w:t>
      </w:r>
      <w:r w:rsidR="00844182" w:rsidRPr="0007313C">
        <w:rPr>
          <w:sz w:val="23"/>
          <w:szCs w:val="23"/>
          <w:lang w:val="nb-NO"/>
        </w:rPr>
        <w:t>06</w:t>
      </w:r>
      <w:r w:rsidR="00E2495F" w:rsidRPr="0007313C">
        <w:rPr>
          <w:sz w:val="23"/>
          <w:szCs w:val="23"/>
          <w:lang w:val="nb-NO"/>
        </w:rPr>
        <w:t> 000 kvm</w:t>
      </w:r>
      <w:r w:rsidR="00EA2B59" w:rsidRPr="0007313C">
        <w:rPr>
          <w:sz w:val="23"/>
          <w:szCs w:val="23"/>
          <w:lang w:val="nb-NO"/>
        </w:rPr>
        <w:t>. C</w:t>
      </w:r>
      <w:r w:rsidR="00BC4D2F" w:rsidRPr="0007313C">
        <w:rPr>
          <w:sz w:val="23"/>
          <w:szCs w:val="23"/>
          <w:lang w:val="nb-NO"/>
        </w:rPr>
        <w:t>a. 2</w:t>
      </w:r>
      <w:r w:rsidR="00844182" w:rsidRPr="0007313C">
        <w:rPr>
          <w:sz w:val="23"/>
          <w:szCs w:val="23"/>
          <w:lang w:val="nb-NO"/>
        </w:rPr>
        <w:t>6</w:t>
      </w:r>
      <w:r w:rsidR="00BC4D2F" w:rsidRPr="0007313C">
        <w:rPr>
          <w:sz w:val="23"/>
          <w:szCs w:val="23"/>
          <w:lang w:val="nb-NO"/>
        </w:rPr>
        <w:t xml:space="preserve"> 000 kvm kommer fra Høgskolen i Gjøvik, </w:t>
      </w:r>
      <w:r w:rsidR="00B0160E" w:rsidRPr="0007313C">
        <w:rPr>
          <w:sz w:val="23"/>
          <w:szCs w:val="23"/>
          <w:lang w:val="nb-NO"/>
        </w:rPr>
        <w:t>82</w:t>
      </w:r>
      <w:r w:rsidR="00BC4D2F" w:rsidRPr="0007313C">
        <w:rPr>
          <w:sz w:val="23"/>
          <w:szCs w:val="23"/>
          <w:lang w:val="nb-NO"/>
        </w:rPr>
        <w:t> 000 kvm</w:t>
      </w:r>
      <w:r w:rsidR="00B875A6" w:rsidRPr="0007313C">
        <w:rPr>
          <w:sz w:val="23"/>
          <w:szCs w:val="23"/>
          <w:lang w:val="nb-NO"/>
        </w:rPr>
        <w:t xml:space="preserve"> </w:t>
      </w:r>
      <w:r w:rsidR="009F7B2B" w:rsidRPr="0007313C">
        <w:rPr>
          <w:sz w:val="23"/>
          <w:szCs w:val="23"/>
          <w:lang w:val="nb-NO"/>
        </w:rPr>
        <w:t>fra</w:t>
      </w:r>
      <w:r w:rsidR="00A31CFD" w:rsidRPr="0007313C">
        <w:rPr>
          <w:sz w:val="23"/>
          <w:szCs w:val="23"/>
          <w:lang w:val="nb-NO"/>
        </w:rPr>
        <w:t xml:space="preserve"> </w:t>
      </w:r>
      <w:r w:rsidR="00BC4D2F" w:rsidRPr="0007313C">
        <w:rPr>
          <w:sz w:val="23"/>
          <w:szCs w:val="23"/>
          <w:lang w:val="nb-NO"/>
        </w:rPr>
        <w:t xml:space="preserve">Høgskolen i </w:t>
      </w:r>
      <w:r w:rsidR="009F7B2B" w:rsidRPr="0007313C">
        <w:rPr>
          <w:sz w:val="23"/>
          <w:szCs w:val="23"/>
          <w:lang w:val="nb-NO"/>
        </w:rPr>
        <w:t>Sør-Trøndelag</w:t>
      </w:r>
      <w:r w:rsidR="00BC4D2F" w:rsidRPr="0007313C">
        <w:rPr>
          <w:sz w:val="23"/>
          <w:szCs w:val="23"/>
          <w:lang w:val="nb-NO"/>
        </w:rPr>
        <w:t xml:space="preserve"> og 2</w:t>
      </w:r>
      <w:r w:rsidR="00844182" w:rsidRPr="0007313C">
        <w:rPr>
          <w:sz w:val="23"/>
          <w:szCs w:val="23"/>
          <w:lang w:val="nb-NO"/>
        </w:rPr>
        <w:t>2</w:t>
      </w:r>
      <w:r w:rsidR="00BC4D2F" w:rsidRPr="0007313C">
        <w:rPr>
          <w:sz w:val="23"/>
          <w:szCs w:val="23"/>
          <w:lang w:val="nb-NO"/>
        </w:rPr>
        <w:t> 000 kvm fra Høgskolen i Ålesund</w:t>
      </w:r>
      <w:r w:rsidR="00E2495F" w:rsidRPr="0007313C">
        <w:rPr>
          <w:sz w:val="23"/>
          <w:szCs w:val="23"/>
          <w:lang w:val="nb-NO"/>
        </w:rPr>
        <w:t>.</w:t>
      </w:r>
      <w:r w:rsidR="00693B42" w:rsidRPr="0007313C">
        <w:rPr>
          <w:sz w:val="23"/>
          <w:szCs w:val="23"/>
          <w:lang w:val="nb-NO"/>
        </w:rPr>
        <w:t xml:space="preserve"> </w:t>
      </w:r>
      <w:r w:rsidR="003D0E39" w:rsidRPr="0007313C">
        <w:rPr>
          <w:sz w:val="23"/>
          <w:szCs w:val="23"/>
          <w:lang w:val="nb-NO"/>
        </w:rPr>
        <w:t>B</w:t>
      </w:r>
      <w:r w:rsidR="00DC5AB5" w:rsidRPr="0007313C">
        <w:rPr>
          <w:sz w:val="23"/>
          <w:szCs w:val="23"/>
          <w:lang w:val="nb-NO"/>
        </w:rPr>
        <w:t xml:space="preserve">ygningene og arealene rundt </w:t>
      </w:r>
      <w:r w:rsidR="00913384" w:rsidRPr="0007313C">
        <w:rPr>
          <w:sz w:val="23"/>
          <w:szCs w:val="23"/>
          <w:lang w:val="nb-NO"/>
        </w:rPr>
        <w:t>er</w:t>
      </w:r>
      <w:r w:rsidR="0010016E">
        <w:rPr>
          <w:sz w:val="23"/>
          <w:szCs w:val="23"/>
          <w:lang w:val="nb-NO"/>
        </w:rPr>
        <w:t xml:space="preserve"> sentrale rammer</w:t>
      </w:r>
      <w:r w:rsidR="0063462C" w:rsidRPr="0007313C">
        <w:rPr>
          <w:sz w:val="23"/>
          <w:szCs w:val="23"/>
          <w:lang w:val="nb-NO"/>
        </w:rPr>
        <w:t xml:space="preserve"> for</w:t>
      </w:r>
      <w:r w:rsidR="00D360C7" w:rsidRPr="0007313C">
        <w:rPr>
          <w:sz w:val="23"/>
          <w:szCs w:val="23"/>
          <w:lang w:val="nb-NO"/>
        </w:rPr>
        <w:t xml:space="preserve"> NTNUs </w:t>
      </w:r>
      <w:r w:rsidR="003D0E39" w:rsidRPr="0007313C">
        <w:rPr>
          <w:sz w:val="23"/>
          <w:szCs w:val="23"/>
          <w:lang w:val="nb-NO"/>
        </w:rPr>
        <w:t xml:space="preserve">virksomhet og </w:t>
      </w:r>
      <w:r w:rsidR="00D360C7" w:rsidRPr="0007313C">
        <w:rPr>
          <w:sz w:val="23"/>
          <w:szCs w:val="23"/>
          <w:lang w:val="nb-NO"/>
        </w:rPr>
        <w:t>strategier</w:t>
      </w:r>
      <w:r w:rsidR="008E06F0" w:rsidRPr="0007313C">
        <w:rPr>
          <w:sz w:val="23"/>
          <w:szCs w:val="23"/>
          <w:lang w:val="nb-NO"/>
        </w:rPr>
        <w:t xml:space="preserve"> på kort og </w:t>
      </w:r>
      <w:r w:rsidR="0063462C" w:rsidRPr="0007313C">
        <w:rPr>
          <w:sz w:val="23"/>
          <w:szCs w:val="23"/>
          <w:lang w:val="nb-NO"/>
        </w:rPr>
        <w:t xml:space="preserve">på </w:t>
      </w:r>
      <w:r w:rsidR="008E06F0" w:rsidRPr="0007313C">
        <w:rPr>
          <w:sz w:val="23"/>
          <w:szCs w:val="23"/>
          <w:lang w:val="nb-NO"/>
        </w:rPr>
        <w:t>lang sikt</w:t>
      </w:r>
      <w:r w:rsidR="00D360C7" w:rsidRPr="0007313C">
        <w:rPr>
          <w:sz w:val="23"/>
          <w:szCs w:val="23"/>
          <w:lang w:val="nb-NO"/>
        </w:rPr>
        <w:t xml:space="preserve">. </w:t>
      </w:r>
      <w:r w:rsidR="008E06F0" w:rsidRPr="0007313C">
        <w:rPr>
          <w:sz w:val="23"/>
          <w:szCs w:val="23"/>
          <w:lang w:val="nb-NO"/>
        </w:rPr>
        <w:br/>
      </w:r>
    </w:p>
    <w:p w:rsidR="009F7440" w:rsidRPr="0007313C" w:rsidRDefault="00B95B4E" w:rsidP="00625B10">
      <w:pPr>
        <w:autoSpaceDE w:val="0"/>
        <w:autoSpaceDN w:val="0"/>
        <w:adjustRightInd w:val="0"/>
        <w:rPr>
          <w:rStyle w:val="Sterk"/>
          <w:b w:val="0"/>
          <w:bCs w:val="0"/>
          <w:sz w:val="23"/>
          <w:szCs w:val="23"/>
          <w:lang w:val="nb-NO"/>
        </w:rPr>
      </w:pPr>
      <w:r w:rsidRPr="0007313C">
        <w:rPr>
          <w:sz w:val="23"/>
          <w:szCs w:val="23"/>
          <w:lang w:val="nb-NO"/>
        </w:rPr>
        <w:t xml:space="preserve">Som </w:t>
      </w:r>
      <w:r w:rsidR="00754209" w:rsidRPr="0007313C">
        <w:rPr>
          <w:sz w:val="23"/>
          <w:szCs w:val="23"/>
          <w:lang w:val="nb-NO"/>
        </w:rPr>
        <w:t>sel</w:t>
      </w:r>
      <w:r w:rsidR="008E06F0" w:rsidRPr="0007313C">
        <w:rPr>
          <w:sz w:val="23"/>
          <w:szCs w:val="23"/>
          <w:lang w:val="nb-NO"/>
        </w:rPr>
        <w:t>vforvaltende institusjon er det</w:t>
      </w:r>
      <w:r w:rsidR="00D360C7" w:rsidRPr="0007313C">
        <w:rPr>
          <w:sz w:val="23"/>
          <w:szCs w:val="23"/>
          <w:lang w:val="nb-NO"/>
        </w:rPr>
        <w:t xml:space="preserve"> </w:t>
      </w:r>
      <w:r w:rsidR="00754209" w:rsidRPr="0007313C">
        <w:rPr>
          <w:sz w:val="23"/>
          <w:szCs w:val="23"/>
          <w:lang w:val="nb-NO"/>
        </w:rPr>
        <w:t xml:space="preserve">sentralt å ha </w:t>
      </w:r>
      <w:r w:rsidR="00290264" w:rsidRPr="0007313C">
        <w:rPr>
          <w:sz w:val="23"/>
          <w:szCs w:val="23"/>
          <w:lang w:val="nb-NO"/>
        </w:rPr>
        <w:t>god informasjon om bygningsmassens tilstand o</w:t>
      </w:r>
      <w:r w:rsidR="00754209" w:rsidRPr="0007313C">
        <w:rPr>
          <w:sz w:val="23"/>
          <w:szCs w:val="23"/>
          <w:lang w:val="nb-NO"/>
        </w:rPr>
        <w:t xml:space="preserve">g gode </w:t>
      </w:r>
      <w:r w:rsidR="00290264" w:rsidRPr="0007313C">
        <w:rPr>
          <w:sz w:val="23"/>
          <w:szCs w:val="23"/>
          <w:lang w:val="nb-NO"/>
        </w:rPr>
        <w:t>langtids</w:t>
      </w:r>
      <w:r w:rsidR="00754209" w:rsidRPr="0007313C">
        <w:rPr>
          <w:sz w:val="23"/>
          <w:szCs w:val="23"/>
          <w:lang w:val="nb-NO"/>
        </w:rPr>
        <w:t xml:space="preserve">planer for vedlikehold og utvikling. Dette er også understreket i </w:t>
      </w:r>
      <w:r w:rsidR="004317D2" w:rsidRPr="0007313C">
        <w:rPr>
          <w:sz w:val="23"/>
          <w:szCs w:val="23"/>
          <w:lang w:val="nb-NO"/>
        </w:rPr>
        <w:t xml:space="preserve">tildelingsbrev </w:t>
      </w:r>
      <w:r w:rsidR="00A3146B" w:rsidRPr="0007313C">
        <w:rPr>
          <w:sz w:val="23"/>
          <w:szCs w:val="23"/>
          <w:lang w:val="nb-NO"/>
        </w:rPr>
        <w:t xml:space="preserve">fra Kunnskapsdepartementet </w:t>
      </w:r>
      <w:r w:rsidR="00290264" w:rsidRPr="0007313C">
        <w:rPr>
          <w:sz w:val="23"/>
          <w:szCs w:val="23"/>
          <w:lang w:val="nb-NO"/>
        </w:rPr>
        <w:t xml:space="preserve">av </w:t>
      </w:r>
      <w:r w:rsidR="00F457A0">
        <w:rPr>
          <w:sz w:val="23"/>
          <w:szCs w:val="23"/>
          <w:lang w:val="nb-NO"/>
        </w:rPr>
        <w:t>18.12.2015</w:t>
      </w:r>
      <w:r w:rsidR="004317D2" w:rsidRPr="0007313C">
        <w:rPr>
          <w:sz w:val="23"/>
          <w:szCs w:val="23"/>
          <w:lang w:val="nb-NO"/>
        </w:rPr>
        <w:t>.</w:t>
      </w:r>
      <w:r w:rsidR="00D360C7" w:rsidRPr="0007313C">
        <w:rPr>
          <w:i/>
          <w:sz w:val="23"/>
          <w:szCs w:val="23"/>
          <w:lang w:val="nb-NO"/>
        </w:rPr>
        <w:t xml:space="preserve"> </w:t>
      </w:r>
      <w:r w:rsidR="00860511" w:rsidRPr="0007313C">
        <w:rPr>
          <w:sz w:val="23"/>
          <w:szCs w:val="23"/>
          <w:lang w:val="nb-NO"/>
        </w:rPr>
        <w:t>Det vises også til</w:t>
      </w:r>
      <w:r w:rsidR="00C45DE3" w:rsidRPr="0007313C">
        <w:rPr>
          <w:sz w:val="23"/>
          <w:szCs w:val="23"/>
          <w:lang w:val="nb-NO"/>
        </w:rPr>
        <w:t xml:space="preserve"> O-</w:t>
      </w:r>
      <w:r w:rsidR="00860511" w:rsidRPr="0007313C">
        <w:rPr>
          <w:sz w:val="23"/>
          <w:szCs w:val="23"/>
          <w:lang w:val="nb-NO"/>
        </w:rPr>
        <w:t>sak</w:t>
      </w:r>
      <w:r w:rsidR="00C45DE3" w:rsidRPr="0007313C">
        <w:rPr>
          <w:sz w:val="23"/>
          <w:szCs w:val="23"/>
          <w:lang w:val="nb-NO"/>
        </w:rPr>
        <w:t xml:space="preserve"> 9/14 Vedlikehold og vedlikeholdsetterslep</w:t>
      </w:r>
      <w:r w:rsidR="006D444D" w:rsidRPr="0007313C">
        <w:rPr>
          <w:sz w:val="23"/>
          <w:szCs w:val="23"/>
          <w:lang w:val="nb-NO"/>
        </w:rPr>
        <w:t>.</w:t>
      </w:r>
    </w:p>
    <w:p w:rsidR="00773DC9" w:rsidRPr="0007313C" w:rsidRDefault="00773DC9" w:rsidP="00773DC9">
      <w:pPr>
        <w:pStyle w:val="Default"/>
        <w:rPr>
          <w:rStyle w:val="Sterk"/>
          <w:rFonts w:ascii="Times" w:hAnsi="Times"/>
          <w:b w:val="0"/>
          <w:bCs w:val="0"/>
          <w:color w:val="auto"/>
          <w:sz w:val="23"/>
          <w:szCs w:val="23"/>
        </w:rPr>
      </w:pPr>
    </w:p>
    <w:p w:rsidR="00FD306F" w:rsidRPr="0007313C" w:rsidRDefault="00F26BDF" w:rsidP="00FD306F">
      <w:pPr>
        <w:pStyle w:val="Default"/>
        <w:rPr>
          <w:rStyle w:val="Sterk"/>
          <w:rFonts w:ascii="Times" w:hAnsi="Times"/>
          <w:b w:val="0"/>
          <w:bCs w:val="0"/>
          <w:color w:val="auto"/>
          <w:sz w:val="23"/>
          <w:szCs w:val="23"/>
        </w:rPr>
      </w:pPr>
      <w:r w:rsidRPr="0007313C">
        <w:rPr>
          <w:rStyle w:val="Sterk"/>
          <w:rFonts w:ascii="Times" w:hAnsi="Times"/>
          <w:b w:val="0"/>
          <w:bCs w:val="0"/>
          <w:color w:val="auto"/>
          <w:sz w:val="23"/>
          <w:szCs w:val="23"/>
        </w:rPr>
        <w:t xml:space="preserve">Sammenslåingen med de tre høgskolene </w:t>
      </w:r>
      <w:r w:rsidR="00F457A0">
        <w:rPr>
          <w:rStyle w:val="Sterk"/>
          <w:rFonts w:ascii="Times" w:hAnsi="Times"/>
          <w:b w:val="0"/>
          <w:bCs w:val="0"/>
          <w:color w:val="auto"/>
          <w:sz w:val="23"/>
          <w:szCs w:val="23"/>
        </w:rPr>
        <w:t xml:space="preserve">gir </w:t>
      </w:r>
      <w:r w:rsidR="00CF4DB1" w:rsidRPr="0007313C">
        <w:rPr>
          <w:rStyle w:val="Sterk"/>
          <w:rFonts w:ascii="Times" w:hAnsi="Times"/>
          <w:b w:val="0"/>
          <w:bCs w:val="0"/>
          <w:color w:val="auto"/>
          <w:sz w:val="23"/>
          <w:szCs w:val="23"/>
        </w:rPr>
        <w:t xml:space="preserve">nye </w:t>
      </w:r>
      <w:r w:rsidR="00F457A0">
        <w:rPr>
          <w:rStyle w:val="Sterk"/>
          <w:rFonts w:ascii="Times" w:hAnsi="Times"/>
          <w:b w:val="0"/>
          <w:bCs w:val="0"/>
          <w:color w:val="auto"/>
          <w:sz w:val="23"/>
          <w:szCs w:val="23"/>
        </w:rPr>
        <w:t xml:space="preserve">muligheter og </w:t>
      </w:r>
      <w:r w:rsidR="00CF4DB1" w:rsidRPr="0007313C">
        <w:rPr>
          <w:rStyle w:val="Sterk"/>
          <w:rFonts w:ascii="Times" w:hAnsi="Times"/>
          <w:b w:val="0"/>
          <w:bCs w:val="0"/>
          <w:color w:val="auto"/>
          <w:sz w:val="23"/>
          <w:szCs w:val="23"/>
        </w:rPr>
        <w:t>utfordringer i</w:t>
      </w:r>
      <w:r w:rsidRPr="0007313C">
        <w:rPr>
          <w:rStyle w:val="Sterk"/>
          <w:rFonts w:ascii="Times" w:hAnsi="Times"/>
          <w:b w:val="0"/>
          <w:bCs w:val="0"/>
          <w:color w:val="auto"/>
          <w:sz w:val="23"/>
          <w:szCs w:val="23"/>
        </w:rPr>
        <w:t xml:space="preserve"> forvaltning av bygningsmassen. </w:t>
      </w:r>
      <w:r w:rsidR="00176778" w:rsidRPr="0007313C">
        <w:rPr>
          <w:rStyle w:val="Sterk"/>
          <w:rFonts w:ascii="Times" w:hAnsi="Times"/>
          <w:b w:val="0"/>
          <w:bCs w:val="0"/>
          <w:color w:val="auto"/>
          <w:sz w:val="23"/>
          <w:szCs w:val="23"/>
        </w:rPr>
        <w:t>Foruten en stor økning i d</w:t>
      </w:r>
      <w:r w:rsidR="007B54C6" w:rsidRPr="0007313C">
        <w:rPr>
          <w:rStyle w:val="Sterk"/>
          <w:rFonts w:ascii="Times" w:hAnsi="Times"/>
          <w:b w:val="0"/>
          <w:bCs w:val="0"/>
          <w:color w:val="auto"/>
          <w:sz w:val="23"/>
          <w:szCs w:val="23"/>
        </w:rPr>
        <w:t>isponibelt</w:t>
      </w:r>
      <w:r w:rsidR="003A1142" w:rsidRPr="0007313C">
        <w:rPr>
          <w:rStyle w:val="Sterk"/>
          <w:rFonts w:ascii="Times" w:hAnsi="Times"/>
          <w:b w:val="0"/>
          <w:bCs w:val="0"/>
          <w:color w:val="auto"/>
          <w:sz w:val="23"/>
          <w:szCs w:val="23"/>
        </w:rPr>
        <w:t xml:space="preserve"> areal</w:t>
      </w:r>
      <w:r w:rsidR="007B54C6" w:rsidRPr="0007313C">
        <w:rPr>
          <w:rStyle w:val="Sterk"/>
          <w:rFonts w:ascii="Times" w:hAnsi="Times"/>
          <w:b w:val="0"/>
          <w:bCs w:val="0"/>
          <w:color w:val="auto"/>
          <w:sz w:val="23"/>
          <w:szCs w:val="23"/>
        </w:rPr>
        <w:t xml:space="preserve"> øker andelen leid areal fra </w:t>
      </w:r>
      <w:r w:rsidR="00566650" w:rsidRPr="0007313C">
        <w:rPr>
          <w:rStyle w:val="Sterk"/>
          <w:rFonts w:ascii="Times" w:hAnsi="Times"/>
          <w:b w:val="0"/>
          <w:bCs w:val="0"/>
          <w:color w:val="auto"/>
          <w:sz w:val="23"/>
          <w:szCs w:val="23"/>
        </w:rPr>
        <w:t xml:space="preserve">ca. </w:t>
      </w:r>
      <w:r w:rsidR="007B54C6" w:rsidRPr="0007313C">
        <w:rPr>
          <w:rStyle w:val="Sterk"/>
          <w:rFonts w:ascii="Times" w:hAnsi="Times"/>
          <w:b w:val="0"/>
          <w:bCs w:val="0"/>
          <w:color w:val="auto"/>
          <w:sz w:val="23"/>
          <w:szCs w:val="23"/>
        </w:rPr>
        <w:t>1</w:t>
      </w:r>
      <w:r w:rsidR="009F20D6" w:rsidRPr="0007313C">
        <w:rPr>
          <w:rStyle w:val="Sterk"/>
          <w:rFonts w:ascii="Times" w:hAnsi="Times"/>
          <w:b w:val="0"/>
          <w:bCs w:val="0"/>
          <w:color w:val="auto"/>
          <w:sz w:val="23"/>
          <w:szCs w:val="23"/>
        </w:rPr>
        <w:t>3</w:t>
      </w:r>
      <w:r w:rsidR="007B54C6" w:rsidRPr="0007313C">
        <w:rPr>
          <w:rStyle w:val="Sterk"/>
          <w:rFonts w:ascii="Times" w:hAnsi="Times"/>
          <w:b w:val="0"/>
          <w:bCs w:val="0"/>
          <w:color w:val="auto"/>
          <w:sz w:val="23"/>
          <w:szCs w:val="23"/>
        </w:rPr>
        <w:t xml:space="preserve"> til </w:t>
      </w:r>
      <w:r w:rsidR="00566650" w:rsidRPr="0007313C">
        <w:rPr>
          <w:rStyle w:val="Sterk"/>
          <w:rFonts w:ascii="Times" w:hAnsi="Times"/>
          <w:b w:val="0"/>
          <w:bCs w:val="0"/>
          <w:color w:val="auto"/>
          <w:sz w:val="23"/>
          <w:szCs w:val="23"/>
        </w:rPr>
        <w:t xml:space="preserve">ca. </w:t>
      </w:r>
      <w:r w:rsidR="00B0160E" w:rsidRPr="0007313C">
        <w:rPr>
          <w:rStyle w:val="Sterk"/>
          <w:rFonts w:ascii="Times" w:hAnsi="Times"/>
          <w:b w:val="0"/>
          <w:bCs w:val="0"/>
          <w:color w:val="auto"/>
          <w:sz w:val="23"/>
          <w:szCs w:val="23"/>
        </w:rPr>
        <w:t>28</w:t>
      </w:r>
      <w:r w:rsidR="007B54C6" w:rsidRPr="0007313C">
        <w:rPr>
          <w:rStyle w:val="Sterk"/>
          <w:rFonts w:ascii="Times" w:hAnsi="Times"/>
          <w:b w:val="0"/>
          <w:bCs w:val="0"/>
          <w:color w:val="auto"/>
          <w:sz w:val="23"/>
          <w:szCs w:val="23"/>
        </w:rPr>
        <w:t xml:space="preserve"> prosent. NTNU er opptatt av at </w:t>
      </w:r>
      <w:r w:rsidR="002C6BA0" w:rsidRPr="0007313C">
        <w:rPr>
          <w:rStyle w:val="Sterk"/>
          <w:rFonts w:ascii="Times" w:hAnsi="Times"/>
          <w:b w:val="0"/>
          <w:bCs w:val="0"/>
          <w:color w:val="auto"/>
          <w:sz w:val="23"/>
          <w:szCs w:val="23"/>
        </w:rPr>
        <w:t>brukerne</w:t>
      </w:r>
      <w:r w:rsidR="00BC2269" w:rsidRPr="0007313C">
        <w:rPr>
          <w:rStyle w:val="Sterk"/>
          <w:rFonts w:ascii="Times" w:hAnsi="Times"/>
          <w:b w:val="0"/>
          <w:bCs w:val="0"/>
          <w:color w:val="auto"/>
          <w:sz w:val="23"/>
          <w:szCs w:val="23"/>
        </w:rPr>
        <w:t xml:space="preserve"> </w:t>
      </w:r>
      <w:r w:rsidR="00F457A0">
        <w:rPr>
          <w:rStyle w:val="Sterk"/>
          <w:rFonts w:ascii="Times" w:hAnsi="Times"/>
          <w:b w:val="0"/>
          <w:bCs w:val="0"/>
          <w:color w:val="auto"/>
          <w:sz w:val="23"/>
          <w:szCs w:val="23"/>
        </w:rPr>
        <w:t xml:space="preserve">tilbys </w:t>
      </w:r>
      <w:r w:rsidR="007B54C6" w:rsidRPr="0007313C">
        <w:rPr>
          <w:rStyle w:val="Sterk"/>
          <w:rFonts w:ascii="Times" w:hAnsi="Times"/>
          <w:b w:val="0"/>
          <w:bCs w:val="0"/>
          <w:color w:val="auto"/>
          <w:sz w:val="23"/>
          <w:szCs w:val="23"/>
        </w:rPr>
        <w:t>god</w:t>
      </w:r>
      <w:r w:rsidR="00566650" w:rsidRPr="0007313C">
        <w:rPr>
          <w:rStyle w:val="Sterk"/>
          <w:rFonts w:ascii="Times" w:hAnsi="Times"/>
          <w:b w:val="0"/>
          <w:bCs w:val="0"/>
          <w:color w:val="auto"/>
          <w:sz w:val="23"/>
          <w:szCs w:val="23"/>
        </w:rPr>
        <w:t>e</w:t>
      </w:r>
      <w:r w:rsidR="002C6BA0" w:rsidRPr="0007313C">
        <w:rPr>
          <w:rStyle w:val="Sterk"/>
          <w:rFonts w:ascii="Times" w:hAnsi="Times"/>
          <w:b w:val="0"/>
          <w:bCs w:val="0"/>
          <w:color w:val="auto"/>
          <w:sz w:val="23"/>
          <w:szCs w:val="23"/>
        </w:rPr>
        <w:t xml:space="preserve"> </w:t>
      </w:r>
      <w:r w:rsidR="00176778" w:rsidRPr="0007313C">
        <w:rPr>
          <w:rStyle w:val="Sterk"/>
          <w:rFonts w:ascii="Times" w:hAnsi="Times"/>
          <w:b w:val="0"/>
          <w:bCs w:val="0"/>
          <w:color w:val="auto"/>
          <w:sz w:val="23"/>
          <w:szCs w:val="23"/>
        </w:rPr>
        <w:t xml:space="preserve">lokaler </w:t>
      </w:r>
      <w:r w:rsidR="007B54C6" w:rsidRPr="0007313C">
        <w:rPr>
          <w:rStyle w:val="Sterk"/>
          <w:rFonts w:ascii="Times" w:hAnsi="Times"/>
          <w:b w:val="0"/>
          <w:bCs w:val="0"/>
          <w:color w:val="auto"/>
          <w:sz w:val="23"/>
          <w:szCs w:val="23"/>
        </w:rPr>
        <w:t>og</w:t>
      </w:r>
      <w:r w:rsidR="00176778" w:rsidRPr="0007313C">
        <w:rPr>
          <w:rStyle w:val="Sterk"/>
          <w:rFonts w:ascii="Times" w:hAnsi="Times"/>
          <w:b w:val="0"/>
          <w:bCs w:val="0"/>
          <w:color w:val="auto"/>
          <w:sz w:val="23"/>
          <w:szCs w:val="23"/>
        </w:rPr>
        <w:t xml:space="preserve"> tjenester</w:t>
      </w:r>
      <w:r w:rsidR="007B54C6" w:rsidRPr="0007313C">
        <w:rPr>
          <w:rStyle w:val="Sterk"/>
          <w:rFonts w:ascii="Times" w:hAnsi="Times"/>
          <w:b w:val="0"/>
          <w:bCs w:val="0"/>
          <w:color w:val="auto"/>
          <w:sz w:val="23"/>
          <w:szCs w:val="23"/>
        </w:rPr>
        <w:t xml:space="preserve"> </w:t>
      </w:r>
      <w:r w:rsidR="00BC2269" w:rsidRPr="0007313C">
        <w:rPr>
          <w:rStyle w:val="Sterk"/>
          <w:rFonts w:ascii="Times" w:hAnsi="Times"/>
          <w:b w:val="0"/>
          <w:bCs w:val="0"/>
          <w:color w:val="auto"/>
          <w:sz w:val="23"/>
          <w:szCs w:val="23"/>
        </w:rPr>
        <w:t>enten de hold</w:t>
      </w:r>
      <w:r w:rsidR="00176778" w:rsidRPr="0007313C">
        <w:rPr>
          <w:rStyle w:val="Sterk"/>
          <w:rFonts w:ascii="Times" w:hAnsi="Times"/>
          <w:b w:val="0"/>
          <w:bCs w:val="0"/>
          <w:color w:val="auto"/>
          <w:sz w:val="23"/>
          <w:szCs w:val="23"/>
        </w:rPr>
        <w:t>er til i leide eller eide areal</w:t>
      </w:r>
      <w:r w:rsidR="00CF4DB1" w:rsidRPr="0007313C">
        <w:rPr>
          <w:rStyle w:val="Sterk"/>
          <w:rFonts w:ascii="Times" w:hAnsi="Times"/>
          <w:b w:val="0"/>
          <w:bCs w:val="0"/>
          <w:color w:val="auto"/>
          <w:sz w:val="23"/>
          <w:szCs w:val="23"/>
        </w:rPr>
        <w:t>. Med en så stor andel leide areal</w:t>
      </w:r>
      <w:r w:rsidR="00176778" w:rsidRPr="0007313C">
        <w:rPr>
          <w:rStyle w:val="Sterk"/>
          <w:rFonts w:ascii="Times" w:hAnsi="Times"/>
          <w:b w:val="0"/>
          <w:bCs w:val="0"/>
          <w:color w:val="auto"/>
          <w:sz w:val="23"/>
          <w:szCs w:val="23"/>
        </w:rPr>
        <w:t xml:space="preserve"> </w:t>
      </w:r>
      <w:r w:rsidR="00CF4DB1" w:rsidRPr="0007313C">
        <w:rPr>
          <w:rStyle w:val="Sterk"/>
          <w:rFonts w:ascii="Times" w:hAnsi="Times"/>
          <w:b w:val="0"/>
          <w:bCs w:val="0"/>
          <w:color w:val="auto"/>
          <w:sz w:val="23"/>
          <w:szCs w:val="23"/>
        </w:rPr>
        <w:t>blir d</w:t>
      </w:r>
      <w:r w:rsidR="00190F9D" w:rsidRPr="0007313C">
        <w:rPr>
          <w:rStyle w:val="Sterk"/>
          <w:rFonts w:ascii="Times" w:hAnsi="Times"/>
          <w:b w:val="0"/>
          <w:bCs w:val="0"/>
          <w:color w:val="auto"/>
          <w:sz w:val="23"/>
          <w:szCs w:val="23"/>
        </w:rPr>
        <w:t xml:space="preserve">et </w:t>
      </w:r>
      <w:r w:rsidR="00CF4DB1" w:rsidRPr="0007313C">
        <w:rPr>
          <w:rStyle w:val="Sterk"/>
          <w:rFonts w:ascii="Times" w:hAnsi="Times"/>
          <w:b w:val="0"/>
          <w:bCs w:val="0"/>
          <w:color w:val="auto"/>
          <w:sz w:val="23"/>
          <w:szCs w:val="23"/>
        </w:rPr>
        <w:t>viktig</w:t>
      </w:r>
      <w:r w:rsidR="00176778" w:rsidRPr="0007313C">
        <w:rPr>
          <w:rStyle w:val="Sterk"/>
          <w:rFonts w:ascii="Times" w:hAnsi="Times"/>
          <w:b w:val="0"/>
          <w:bCs w:val="0"/>
          <w:color w:val="auto"/>
          <w:sz w:val="23"/>
          <w:szCs w:val="23"/>
        </w:rPr>
        <w:t xml:space="preserve"> </w:t>
      </w:r>
      <w:r w:rsidR="00CF4DB1" w:rsidRPr="0007313C">
        <w:rPr>
          <w:rStyle w:val="Sterk"/>
          <w:rFonts w:ascii="Times" w:hAnsi="Times"/>
          <w:b w:val="0"/>
          <w:bCs w:val="0"/>
          <w:color w:val="auto"/>
          <w:sz w:val="23"/>
          <w:szCs w:val="23"/>
        </w:rPr>
        <w:t xml:space="preserve">å </w:t>
      </w:r>
      <w:r w:rsidR="003C4181" w:rsidRPr="0007313C">
        <w:rPr>
          <w:rStyle w:val="Sterk"/>
          <w:rFonts w:ascii="Times" w:hAnsi="Times"/>
          <w:b w:val="0"/>
          <w:bCs w:val="0"/>
          <w:color w:val="auto"/>
          <w:sz w:val="23"/>
          <w:szCs w:val="23"/>
        </w:rPr>
        <w:t>ha</w:t>
      </w:r>
      <w:r w:rsidR="00CF4DB1" w:rsidRPr="0007313C">
        <w:rPr>
          <w:rStyle w:val="Sterk"/>
          <w:rFonts w:ascii="Times" w:hAnsi="Times"/>
          <w:b w:val="0"/>
          <w:bCs w:val="0"/>
          <w:color w:val="auto"/>
          <w:sz w:val="23"/>
          <w:szCs w:val="23"/>
        </w:rPr>
        <w:t xml:space="preserve"> </w:t>
      </w:r>
      <w:r w:rsidR="00190F9D" w:rsidRPr="0007313C">
        <w:rPr>
          <w:rStyle w:val="Sterk"/>
          <w:rFonts w:ascii="Times" w:hAnsi="Times"/>
          <w:b w:val="0"/>
          <w:bCs w:val="0"/>
          <w:color w:val="auto"/>
          <w:sz w:val="23"/>
          <w:szCs w:val="23"/>
        </w:rPr>
        <w:t>fokus</w:t>
      </w:r>
      <w:r w:rsidR="0022278C" w:rsidRPr="0007313C">
        <w:rPr>
          <w:rStyle w:val="Sterk"/>
          <w:rFonts w:ascii="Times" w:hAnsi="Times"/>
          <w:b w:val="0"/>
          <w:bCs w:val="0"/>
          <w:color w:val="auto"/>
          <w:sz w:val="23"/>
          <w:szCs w:val="23"/>
        </w:rPr>
        <w:t xml:space="preserve"> </w:t>
      </w:r>
      <w:r w:rsidR="00190F9D" w:rsidRPr="0007313C">
        <w:rPr>
          <w:rStyle w:val="Sterk"/>
          <w:rFonts w:ascii="Times" w:hAnsi="Times"/>
          <w:b w:val="0"/>
          <w:bCs w:val="0"/>
          <w:color w:val="auto"/>
          <w:sz w:val="23"/>
          <w:szCs w:val="23"/>
        </w:rPr>
        <w:t xml:space="preserve">på </w:t>
      </w:r>
      <w:r w:rsidR="00176778" w:rsidRPr="0007313C">
        <w:rPr>
          <w:rStyle w:val="Sterk"/>
          <w:rFonts w:ascii="Times" w:hAnsi="Times"/>
          <w:b w:val="0"/>
          <w:bCs w:val="0"/>
          <w:color w:val="auto"/>
          <w:sz w:val="23"/>
          <w:szCs w:val="23"/>
        </w:rPr>
        <w:t>et godt samarbeid og en god koordinering med de øvrige eiendomsforvalterne</w:t>
      </w:r>
      <w:r w:rsidR="00F457A0">
        <w:rPr>
          <w:rStyle w:val="Sterk"/>
          <w:rFonts w:ascii="Times" w:hAnsi="Times"/>
          <w:b w:val="0"/>
          <w:bCs w:val="0"/>
          <w:color w:val="auto"/>
          <w:sz w:val="23"/>
          <w:szCs w:val="23"/>
        </w:rPr>
        <w:t xml:space="preserve"> som Statsbygg</w:t>
      </w:r>
      <w:r w:rsidR="00C14AAD">
        <w:rPr>
          <w:rStyle w:val="Sterk"/>
          <w:rFonts w:ascii="Times" w:hAnsi="Times"/>
          <w:b w:val="0"/>
          <w:bCs w:val="0"/>
          <w:color w:val="auto"/>
          <w:sz w:val="23"/>
          <w:szCs w:val="23"/>
        </w:rPr>
        <w:t xml:space="preserve"> og andre offentlige og </w:t>
      </w:r>
      <w:r w:rsidR="00FD306F" w:rsidRPr="0007313C">
        <w:rPr>
          <w:rStyle w:val="Sterk"/>
          <w:rFonts w:ascii="Times" w:hAnsi="Times"/>
          <w:b w:val="0"/>
          <w:bCs w:val="0"/>
          <w:color w:val="auto"/>
          <w:sz w:val="23"/>
          <w:szCs w:val="23"/>
        </w:rPr>
        <w:t xml:space="preserve">private </w:t>
      </w:r>
      <w:r w:rsidR="002B2D4A">
        <w:rPr>
          <w:rStyle w:val="Sterk"/>
          <w:rFonts w:ascii="Times" w:hAnsi="Times"/>
          <w:b w:val="0"/>
          <w:bCs w:val="0"/>
          <w:color w:val="auto"/>
          <w:sz w:val="23"/>
          <w:szCs w:val="23"/>
        </w:rPr>
        <w:t>aktører</w:t>
      </w:r>
      <w:r w:rsidR="00FD306F" w:rsidRPr="0007313C">
        <w:rPr>
          <w:rStyle w:val="Sterk"/>
          <w:rFonts w:ascii="Times" w:hAnsi="Times"/>
          <w:b w:val="0"/>
          <w:bCs w:val="0"/>
          <w:color w:val="auto"/>
          <w:sz w:val="23"/>
          <w:szCs w:val="23"/>
        </w:rPr>
        <w:t>.</w:t>
      </w:r>
      <w:r w:rsidR="000902C6" w:rsidRPr="0007313C">
        <w:rPr>
          <w:rStyle w:val="Sterk"/>
          <w:rFonts w:ascii="Times" w:hAnsi="Times"/>
          <w:b w:val="0"/>
          <w:bCs w:val="0"/>
          <w:color w:val="auto"/>
          <w:sz w:val="23"/>
          <w:szCs w:val="23"/>
        </w:rPr>
        <w:t xml:space="preserve"> </w:t>
      </w:r>
      <w:r w:rsidR="00F01BF6" w:rsidRPr="0007313C">
        <w:rPr>
          <w:rStyle w:val="Sterk"/>
          <w:rFonts w:ascii="Times" w:hAnsi="Times"/>
          <w:b w:val="0"/>
          <w:bCs w:val="0"/>
          <w:color w:val="auto"/>
          <w:sz w:val="23"/>
          <w:szCs w:val="23"/>
        </w:rPr>
        <w:t>Dette s</w:t>
      </w:r>
      <w:r w:rsidR="000902C6" w:rsidRPr="0007313C">
        <w:rPr>
          <w:rStyle w:val="Sterk"/>
          <w:rFonts w:ascii="Times" w:hAnsi="Times"/>
          <w:b w:val="0"/>
          <w:bCs w:val="0"/>
          <w:color w:val="auto"/>
          <w:sz w:val="23"/>
          <w:szCs w:val="23"/>
        </w:rPr>
        <w:t xml:space="preserve">amarbeidet kan også bidra til en positiv utvikling </w:t>
      </w:r>
      <w:r w:rsidR="00F01BF6" w:rsidRPr="0007313C">
        <w:rPr>
          <w:rStyle w:val="Sterk"/>
          <w:rFonts w:ascii="Times" w:hAnsi="Times"/>
          <w:b w:val="0"/>
          <w:bCs w:val="0"/>
          <w:color w:val="auto"/>
          <w:sz w:val="23"/>
          <w:szCs w:val="23"/>
        </w:rPr>
        <w:t>for eiendoms- og driftsorganisasjonen ved</w:t>
      </w:r>
      <w:r w:rsidR="000902C6" w:rsidRPr="0007313C">
        <w:rPr>
          <w:rStyle w:val="Sterk"/>
          <w:rFonts w:ascii="Times" w:hAnsi="Times"/>
          <w:b w:val="0"/>
          <w:bCs w:val="0"/>
          <w:color w:val="auto"/>
          <w:sz w:val="23"/>
          <w:szCs w:val="23"/>
        </w:rPr>
        <w:t xml:space="preserve"> NTNU. </w:t>
      </w:r>
    </w:p>
    <w:p w:rsidR="009F7440" w:rsidRPr="0007313C" w:rsidRDefault="009F7440" w:rsidP="00FD306F">
      <w:pPr>
        <w:pStyle w:val="Default"/>
        <w:rPr>
          <w:rStyle w:val="Sterk"/>
          <w:sz w:val="28"/>
        </w:rPr>
      </w:pPr>
    </w:p>
    <w:p w:rsidR="00EB7F7C" w:rsidRPr="0007313C" w:rsidRDefault="00F74D37" w:rsidP="003F13BF">
      <w:pPr>
        <w:autoSpaceDE w:val="0"/>
        <w:autoSpaceDN w:val="0"/>
        <w:adjustRightInd w:val="0"/>
        <w:rPr>
          <w:rStyle w:val="Sterk"/>
          <w:sz w:val="28"/>
          <w:lang w:val="nb-NO"/>
        </w:rPr>
      </w:pPr>
      <w:r w:rsidRPr="0007313C">
        <w:rPr>
          <w:rStyle w:val="Sterk"/>
          <w:sz w:val="28"/>
          <w:lang w:val="nb-NO"/>
        </w:rPr>
        <w:t>Vedlikeholdsetterslep</w:t>
      </w:r>
      <w:r w:rsidR="000B3D61" w:rsidRPr="0007313C">
        <w:rPr>
          <w:rStyle w:val="Sterk"/>
          <w:sz w:val="28"/>
          <w:lang w:val="nb-NO"/>
        </w:rPr>
        <w:t xml:space="preserve"> </w:t>
      </w:r>
      <w:r w:rsidR="003F13BF" w:rsidRPr="0007313C">
        <w:rPr>
          <w:rStyle w:val="Sterk"/>
          <w:sz w:val="28"/>
          <w:lang w:val="nb-NO"/>
        </w:rPr>
        <w:t>–</w:t>
      </w:r>
      <w:r w:rsidR="000B3D61" w:rsidRPr="0007313C">
        <w:rPr>
          <w:rStyle w:val="Sterk"/>
          <w:sz w:val="28"/>
          <w:lang w:val="nb-NO"/>
        </w:rPr>
        <w:t xml:space="preserve"> status</w:t>
      </w:r>
    </w:p>
    <w:p w:rsidR="003F13BF" w:rsidRPr="0007313C" w:rsidRDefault="003F13BF" w:rsidP="003F13BF">
      <w:pPr>
        <w:autoSpaceDE w:val="0"/>
        <w:autoSpaceDN w:val="0"/>
        <w:adjustRightInd w:val="0"/>
        <w:rPr>
          <w:b/>
          <w:bCs/>
          <w:sz w:val="28"/>
          <w:lang w:val="nb-NO"/>
        </w:rPr>
      </w:pPr>
    </w:p>
    <w:p w:rsidR="00F916F8" w:rsidRPr="0007313C" w:rsidRDefault="00CB47DA" w:rsidP="00DE72BB">
      <w:pPr>
        <w:pStyle w:val="Default"/>
        <w:rPr>
          <w:bCs/>
          <w:szCs w:val="23"/>
        </w:rPr>
      </w:pPr>
      <w:r w:rsidRPr="0007313C">
        <w:rPr>
          <w:bCs/>
          <w:szCs w:val="23"/>
        </w:rPr>
        <w:t xml:space="preserve">Rektor fikk i perioden 2010 – 2012 gjennomført en omfattende tilstandsregistrering av bygningsmassen ved NTNU. </w:t>
      </w:r>
      <w:r w:rsidR="00F916F8" w:rsidRPr="0007313C">
        <w:rPr>
          <w:bCs/>
          <w:szCs w:val="23"/>
        </w:rPr>
        <w:t xml:space="preserve">Kartleggingen ble gjennomført i henhold til Norsk Standard NS 3424 som definerer </w:t>
      </w:r>
      <w:r w:rsidR="00BC71B7" w:rsidRPr="0007313C">
        <w:rPr>
          <w:bCs/>
          <w:szCs w:val="23"/>
        </w:rPr>
        <w:t xml:space="preserve">tekniske </w:t>
      </w:r>
      <w:r w:rsidR="00F916F8" w:rsidRPr="0007313C">
        <w:rPr>
          <w:bCs/>
          <w:szCs w:val="23"/>
        </w:rPr>
        <w:t>tilstandsgrader fra 0 til 3</w:t>
      </w:r>
      <w:r w:rsidR="00BC71B7" w:rsidRPr="0007313C">
        <w:rPr>
          <w:bCs/>
          <w:szCs w:val="23"/>
        </w:rPr>
        <w:t>.</w:t>
      </w:r>
      <w:r w:rsidR="00F916F8" w:rsidRPr="0007313C">
        <w:rPr>
          <w:bCs/>
          <w:szCs w:val="23"/>
        </w:rPr>
        <w:t xml:space="preserve"> </w:t>
      </w:r>
      <w:r w:rsidR="00F55CBB" w:rsidRPr="0007313C">
        <w:rPr>
          <w:bCs/>
          <w:szCs w:val="23"/>
        </w:rPr>
        <w:t xml:space="preserve">Tilstandsgrad (TG) </w:t>
      </w:r>
      <w:r w:rsidR="00F916F8" w:rsidRPr="0007313C">
        <w:rPr>
          <w:bCs/>
          <w:szCs w:val="23"/>
        </w:rPr>
        <w:t>0 tilsvarer nybygg (ingen sy</w:t>
      </w:r>
      <w:r w:rsidR="00BC71B7" w:rsidRPr="0007313C">
        <w:rPr>
          <w:bCs/>
          <w:szCs w:val="23"/>
        </w:rPr>
        <w:t>m</w:t>
      </w:r>
      <w:r w:rsidR="00F916F8" w:rsidRPr="0007313C">
        <w:rPr>
          <w:bCs/>
          <w:szCs w:val="23"/>
        </w:rPr>
        <w:t xml:space="preserve">ptomer), </w:t>
      </w:r>
      <w:r w:rsidR="00F55CBB" w:rsidRPr="0007313C">
        <w:rPr>
          <w:bCs/>
          <w:szCs w:val="23"/>
        </w:rPr>
        <w:t>TG</w:t>
      </w:r>
      <w:r w:rsidR="00F916F8" w:rsidRPr="0007313C">
        <w:rPr>
          <w:bCs/>
          <w:szCs w:val="23"/>
        </w:rPr>
        <w:t xml:space="preserve">3 er kraftige symptomer og </w:t>
      </w:r>
      <w:r w:rsidR="00F55CBB" w:rsidRPr="0007313C">
        <w:rPr>
          <w:bCs/>
          <w:szCs w:val="23"/>
        </w:rPr>
        <w:t>TG</w:t>
      </w:r>
      <w:r w:rsidR="00F916F8" w:rsidRPr="0007313C">
        <w:rPr>
          <w:bCs/>
          <w:szCs w:val="23"/>
        </w:rPr>
        <w:t>1 er svake sy</w:t>
      </w:r>
      <w:r w:rsidR="00BC71B7" w:rsidRPr="0007313C">
        <w:rPr>
          <w:bCs/>
          <w:szCs w:val="23"/>
        </w:rPr>
        <w:t>m</w:t>
      </w:r>
      <w:r w:rsidR="00F916F8" w:rsidRPr="0007313C">
        <w:rPr>
          <w:bCs/>
          <w:szCs w:val="23"/>
        </w:rPr>
        <w:t>ptomer på dårlig tekn</w:t>
      </w:r>
      <w:r w:rsidR="008461C0" w:rsidRPr="0007313C">
        <w:rPr>
          <w:bCs/>
          <w:szCs w:val="23"/>
        </w:rPr>
        <w:t>is</w:t>
      </w:r>
      <w:r w:rsidR="00F916F8" w:rsidRPr="0007313C">
        <w:rPr>
          <w:bCs/>
          <w:szCs w:val="23"/>
        </w:rPr>
        <w:t>k tilstand. Reg</w:t>
      </w:r>
      <w:r w:rsidR="00BC71B7" w:rsidRPr="0007313C">
        <w:rPr>
          <w:bCs/>
          <w:szCs w:val="23"/>
        </w:rPr>
        <w:t>i</w:t>
      </w:r>
      <w:r w:rsidR="00F55CBB" w:rsidRPr="0007313C">
        <w:rPr>
          <w:bCs/>
          <w:szCs w:val="23"/>
        </w:rPr>
        <w:t>s</w:t>
      </w:r>
      <w:r w:rsidR="00F916F8" w:rsidRPr="0007313C">
        <w:rPr>
          <w:bCs/>
          <w:szCs w:val="23"/>
        </w:rPr>
        <w:t>treringen</w:t>
      </w:r>
      <w:r w:rsidR="008461C0" w:rsidRPr="0007313C">
        <w:rPr>
          <w:bCs/>
          <w:szCs w:val="23"/>
        </w:rPr>
        <w:t xml:space="preserve"> vist</w:t>
      </w:r>
      <w:r w:rsidRPr="0007313C">
        <w:rPr>
          <w:bCs/>
          <w:szCs w:val="23"/>
        </w:rPr>
        <w:t xml:space="preserve">e en gjennomsnittlig tilstandsgrad for </w:t>
      </w:r>
      <w:r w:rsidR="00F916F8" w:rsidRPr="0007313C">
        <w:rPr>
          <w:bCs/>
          <w:szCs w:val="23"/>
        </w:rPr>
        <w:t xml:space="preserve">NTNUs </w:t>
      </w:r>
      <w:r w:rsidRPr="0007313C">
        <w:rPr>
          <w:bCs/>
          <w:szCs w:val="23"/>
        </w:rPr>
        <w:t>bygninge</w:t>
      </w:r>
      <w:r w:rsidR="00F916F8" w:rsidRPr="0007313C">
        <w:rPr>
          <w:bCs/>
          <w:szCs w:val="23"/>
        </w:rPr>
        <w:t>r</w:t>
      </w:r>
      <w:r w:rsidRPr="0007313C">
        <w:rPr>
          <w:bCs/>
          <w:szCs w:val="23"/>
        </w:rPr>
        <w:t xml:space="preserve"> på 1,2</w:t>
      </w:r>
      <w:r w:rsidR="00F916F8" w:rsidRPr="0007313C">
        <w:rPr>
          <w:bCs/>
          <w:szCs w:val="23"/>
        </w:rPr>
        <w:t xml:space="preserve">. </w:t>
      </w:r>
      <w:r w:rsidR="00D7460C" w:rsidRPr="0007313C">
        <w:rPr>
          <w:bCs/>
          <w:szCs w:val="23"/>
        </w:rPr>
        <w:t xml:space="preserve"> Ingen bygninger </w:t>
      </w:r>
      <w:r w:rsidRPr="0007313C">
        <w:rPr>
          <w:bCs/>
          <w:szCs w:val="23"/>
        </w:rPr>
        <w:t>ble vurdert til kategori 3</w:t>
      </w:r>
      <w:r w:rsidR="00F916F8" w:rsidRPr="0007313C">
        <w:rPr>
          <w:bCs/>
          <w:szCs w:val="23"/>
        </w:rPr>
        <w:t>.</w:t>
      </w:r>
      <w:r w:rsidR="006D72E3" w:rsidRPr="0007313C">
        <w:rPr>
          <w:bCs/>
          <w:szCs w:val="23"/>
        </w:rPr>
        <w:t xml:space="preserve"> NTNUs strategi for vedlikehold </w:t>
      </w:r>
      <w:r w:rsidR="005F33F9">
        <w:rPr>
          <w:bCs/>
          <w:szCs w:val="23"/>
        </w:rPr>
        <w:t xml:space="preserve">sier blant annet </w:t>
      </w:r>
      <w:r w:rsidR="006D72E3" w:rsidRPr="0007313C">
        <w:rPr>
          <w:bCs/>
          <w:szCs w:val="23"/>
        </w:rPr>
        <w:t>at ingen bygninger skal ha lavere tilstandsgrad enn 1.</w:t>
      </w:r>
    </w:p>
    <w:p w:rsidR="00F916F8" w:rsidRPr="0007313C" w:rsidRDefault="00F916F8" w:rsidP="00DE72BB">
      <w:pPr>
        <w:pStyle w:val="Default"/>
        <w:rPr>
          <w:bCs/>
          <w:szCs w:val="23"/>
        </w:rPr>
      </w:pPr>
    </w:p>
    <w:p w:rsidR="008461C0" w:rsidRPr="0007313C" w:rsidRDefault="00BC71B7" w:rsidP="008461C0">
      <w:pPr>
        <w:pStyle w:val="Default"/>
        <w:rPr>
          <w:bCs/>
          <w:sz w:val="23"/>
          <w:szCs w:val="23"/>
        </w:rPr>
      </w:pPr>
      <w:r w:rsidRPr="0007313C">
        <w:rPr>
          <w:bCs/>
          <w:sz w:val="23"/>
          <w:szCs w:val="23"/>
        </w:rPr>
        <w:t>Ø</w:t>
      </w:r>
      <w:r w:rsidR="008461C0" w:rsidRPr="0007313C">
        <w:rPr>
          <w:bCs/>
          <w:sz w:val="23"/>
          <w:szCs w:val="23"/>
        </w:rPr>
        <w:t>kning i rammene til vedlikeh</w:t>
      </w:r>
      <w:r w:rsidRPr="0007313C">
        <w:rPr>
          <w:bCs/>
          <w:sz w:val="23"/>
          <w:szCs w:val="23"/>
        </w:rPr>
        <w:t xml:space="preserve">old og oppgradering </w:t>
      </w:r>
      <w:r w:rsidR="008461C0" w:rsidRPr="0007313C">
        <w:rPr>
          <w:bCs/>
          <w:sz w:val="23"/>
          <w:szCs w:val="23"/>
        </w:rPr>
        <w:t>de siste årene har gitt positive resultat. Det har blitt rom for flere større vedlikeho</w:t>
      </w:r>
      <w:r w:rsidR="006D444D" w:rsidRPr="0007313C">
        <w:rPr>
          <w:bCs/>
          <w:sz w:val="23"/>
          <w:szCs w:val="23"/>
        </w:rPr>
        <w:t>ldstiltak, og i løpet av de fem</w:t>
      </w:r>
      <w:r w:rsidR="008461C0" w:rsidRPr="0007313C">
        <w:rPr>
          <w:bCs/>
          <w:sz w:val="23"/>
          <w:szCs w:val="23"/>
        </w:rPr>
        <w:t xml:space="preserve"> siste årene kan vi spore en begynnende reduksjon av vedlikeholdsetterslep</w:t>
      </w:r>
      <w:r w:rsidR="005F33F9">
        <w:rPr>
          <w:bCs/>
          <w:sz w:val="23"/>
          <w:szCs w:val="23"/>
        </w:rPr>
        <w:t>et</w:t>
      </w:r>
      <w:r w:rsidR="008461C0" w:rsidRPr="0007313C">
        <w:rPr>
          <w:bCs/>
          <w:sz w:val="23"/>
          <w:szCs w:val="23"/>
        </w:rPr>
        <w:t xml:space="preserve">. En vurdering av </w:t>
      </w:r>
      <w:r w:rsidR="006D444D" w:rsidRPr="0007313C">
        <w:rPr>
          <w:bCs/>
          <w:sz w:val="23"/>
          <w:szCs w:val="23"/>
        </w:rPr>
        <w:t>bygningenes tilstand høsten 2015</w:t>
      </w:r>
      <w:r w:rsidR="008461C0" w:rsidRPr="0007313C">
        <w:rPr>
          <w:bCs/>
          <w:sz w:val="23"/>
          <w:szCs w:val="23"/>
        </w:rPr>
        <w:t xml:space="preserve"> viser at ca. </w:t>
      </w:r>
      <w:r w:rsidR="006D444D" w:rsidRPr="0007313C">
        <w:rPr>
          <w:bCs/>
          <w:sz w:val="23"/>
          <w:szCs w:val="23"/>
        </w:rPr>
        <w:t>14</w:t>
      </w:r>
      <w:r w:rsidR="008461C0" w:rsidRPr="0007313C">
        <w:rPr>
          <w:bCs/>
          <w:sz w:val="23"/>
          <w:szCs w:val="23"/>
        </w:rPr>
        <w:t xml:space="preserve"> % av bygningsmassen har fått en bedring av tilstandsgrad fra TG2 til TG1</w:t>
      </w:r>
      <w:r w:rsidRPr="0007313C">
        <w:rPr>
          <w:bCs/>
          <w:sz w:val="23"/>
          <w:szCs w:val="23"/>
        </w:rPr>
        <w:t>.</w:t>
      </w:r>
      <w:r w:rsidR="00E5494B" w:rsidRPr="0007313C">
        <w:rPr>
          <w:bCs/>
          <w:sz w:val="23"/>
          <w:szCs w:val="23"/>
        </w:rPr>
        <w:t xml:space="preserve"> </w:t>
      </w:r>
      <w:r w:rsidR="008461C0" w:rsidRPr="0007313C">
        <w:rPr>
          <w:bCs/>
          <w:sz w:val="23"/>
          <w:szCs w:val="23"/>
        </w:rPr>
        <w:t xml:space="preserve">Totalt gir dette en bedring for ca. </w:t>
      </w:r>
      <w:r w:rsidR="00E06D6D" w:rsidRPr="0007313C">
        <w:rPr>
          <w:bCs/>
          <w:sz w:val="23"/>
          <w:szCs w:val="23"/>
        </w:rPr>
        <w:t>13</w:t>
      </w:r>
      <w:r w:rsidR="008461C0" w:rsidRPr="0007313C">
        <w:rPr>
          <w:bCs/>
          <w:sz w:val="23"/>
          <w:szCs w:val="23"/>
        </w:rPr>
        <w:t xml:space="preserve"> % av bygningsmassen. </w:t>
      </w:r>
      <w:r w:rsidR="005F33F9">
        <w:rPr>
          <w:bCs/>
          <w:sz w:val="23"/>
          <w:szCs w:val="23"/>
        </w:rPr>
        <w:t xml:space="preserve">Status nå viser </w:t>
      </w:r>
      <w:r w:rsidR="008471E8" w:rsidRPr="0007313C">
        <w:rPr>
          <w:bCs/>
          <w:sz w:val="23"/>
          <w:szCs w:val="23"/>
        </w:rPr>
        <w:t xml:space="preserve">at det er </w:t>
      </w:r>
      <w:r w:rsidR="005B5211">
        <w:rPr>
          <w:bCs/>
          <w:sz w:val="23"/>
          <w:szCs w:val="23"/>
        </w:rPr>
        <w:t xml:space="preserve">anlegget på </w:t>
      </w:r>
      <w:r w:rsidR="008471E8" w:rsidRPr="0007313C">
        <w:rPr>
          <w:bCs/>
          <w:sz w:val="23"/>
          <w:szCs w:val="23"/>
        </w:rPr>
        <w:t xml:space="preserve">Tyholt </w:t>
      </w:r>
      <w:r w:rsidR="005B5211">
        <w:rPr>
          <w:bCs/>
          <w:sz w:val="23"/>
          <w:szCs w:val="23"/>
        </w:rPr>
        <w:t xml:space="preserve">og deler av bygningsmassen på Gløshaugen </w:t>
      </w:r>
      <w:r w:rsidR="00041660">
        <w:rPr>
          <w:bCs/>
          <w:sz w:val="23"/>
          <w:szCs w:val="23"/>
        </w:rPr>
        <w:t>som</w:t>
      </w:r>
      <w:r w:rsidR="008471E8" w:rsidRPr="0007313C">
        <w:rPr>
          <w:bCs/>
          <w:sz w:val="23"/>
          <w:szCs w:val="23"/>
        </w:rPr>
        <w:t xml:space="preserve"> har det største </w:t>
      </w:r>
      <w:r w:rsidR="008471E8" w:rsidRPr="00A30A51">
        <w:rPr>
          <w:bCs/>
          <w:sz w:val="23"/>
          <w:szCs w:val="23"/>
        </w:rPr>
        <w:t>vedlikeholdsetterslepet.</w:t>
      </w:r>
      <w:r w:rsidR="00A30A51">
        <w:rPr>
          <w:bCs/>
          <w:sz w:val="23"/>
          <w:szCs w:val="23"/>
        </w:rPr>
        <w:t xml:space="preserve"> Kalvskinnet og Gløshaugen sør </w:t>
      </w:r>
      <w:r w:rsidR="005B5211">
        <w:rPr>
          <w:bCs/>
          <w:sz w:val="23"/>
          <w:szCs w:val="23"/>
        </w:rPr>
        <w:t>har en noe bedre tilstand.</w:t>
      </w:r>
      <w:r w:rsidR="00A30A51">
        <w:rPr>
          <w:bCs/>
          <w:sz w:val="23"/>
          <w:szCs w:val="23"/>
        </w:rPr>
        <w:t xml:space="preserve"> </w:t>
      </w:r>
      <w:proofErr w:type="spellStart"/>
      <w:r w:rsidR="00E62A28">
        <w:rPr>
          <w:bCs/>
          <w:sz w:val="23"/>
          <w:szCs w:val="23"/>
        </w:rPr>
        <w:t>Dragvoll</w:t>
      </w:r>
      <w:proofErr w:type="spellEnd"/>
      <w:r w:rsidR="00E62A28">
        <w:rPr>
          <w:bCs/>
          <w:sz w:val="23"/>
          <w:szCs w:val="23"/>
        </w:rPr>
        <w:t xml:space="preserve"> har etter omfattende rehabilitering av fasader de siste årene </w:t>
      </w:r>
      <w:r w:rsidR="00041660">
        <w:rPr>
          <w:bCs/>
          <w:sz w:val="23"/>
          <w:szCs w:val="23"/>
        </w:rPr>
        <w:t>et mindre behov for vedlikehold</w:t>
      </w:r>
      <w:r w:rsidR="00E62A28">
        <w:rPr>
          <w:bCs/>
          <w:sz w:val="23"/>
          <w:szCs w:val="23"/>
        </w:rPr>
        <w:t xml:space="preserve">. I lys av at planen er at </w:t>
      </w:r>
      <w:proofErr w:type="spellStart"/>
      <w:r w:rsidR="00E62A28">
        <w:rPr>
          <w:bCs/>
          <w:sz w:val="23"/>
          <w:szCs w:val="23"/>
        </w:rPr>
        <w:t>Dragvoll</w:t>
      </w:r>
      <w:proofErr w:type="spellEnd"/>
      <w:r w:rsidR="00E62A28">
        <w:rPr>
          <w:bCs/>
          <w:sz w:val="23"/>
          <w:szCs w:val="23"/>
        </w:rPr>
        <w:t xml:space="preserve"> </w:t>
      </w:r>
      <w:r w:rsidR="002A3314">
        <w:rPr>
          <w:bCs/>
          <w:sz w:val="23"/>
          <w:szCs w:val="23"/>
        </w:rPr>
        <w:t xml:space="preserve">på sikt </w:t>
      </w:r>
      <w:r w:rsidR="00E62A28">
        <w:rPr>
          <w:bCs/>
          <w:sz w:val="23"/>
          <w:szCs w:val="23"/>
        </w:rPr>
        <w:t xml:space="preserve">skal fraflyttes, er det viktig for Rektor å understreke at intensjonen er å ha et </w:t>
      </w:r>
      <w:r w:rsidR="00A30A51">
        <w:rPr>
          <w:bCs/>
          <w:sz w:val="23"/>
          <w:szCs w:val="23"/>
        </w:rPr>
        <w:t xml:space="preserve">normalt vedlikehold av </w:t>
      </w:r>
      <w:proofErr w:type="spellStart"/>
      <w:r w:rsidR="00A30A51">
        <w:rPr>
          <w:bCs/>
          <w:sz w:val="23"/>
          <w:szCs w:val="23"/>
        </w:rPr>
        <w:t>Dragvoll</w:t>
      </w:r>
      <w:proofErr w:type="spellEnd"/>
      <w:r w:rsidR="00A30A51">
        <w:rPr>
          <w:bCs/>
          <w:sz w:val="23"/>
          <w:szCs w:val="23"/>
        </w:rPr>
        <w:t xml:space="preserve"> </w:t>
      </w:r>
      <w:r w:rsidR="00041660">
        <w:rPr>
          <w:bCs/>
          <w:sz w:val="23"/>
          <w:szCs w:val="23"/>
        </w:rPr>
        <w:t xml:space="preserve">i tråd med NTNUs strategier </w:t>
      </w:r>
      <w:r w:rsidR="00A30A51">
        <w:rPr>
          <w:bCs/>
          <w:sz w:val="23"/>
          <w:szCs w:val="23"/>
        </w:rPr>
        <w:t>også i årene framover</w:t>
      </w:r>
      <w:r w:rsidR="00041660">
        <w:rPr>
          <w:bCs/>
          <w:sz w:val="23"/>
          <w:szCs w:val="23"/>
        </w:rPr>
        <w:t xml:space="preserve">. Ved NTNU skal alle ansatte og studenter har </w:t>
      </w:r>
      <w:r w:rsidR="00A30A51">
        <w:rPr>
          <w:bCs/>
          <w:sz w:val="23"/>
          <w:szCs w:val="23"/>
        </w:rPr>
        <w:t>forsvarlige arbeidslokaler.</w:t>
      </w:r>
      <w:r w:rsidR="00A30A51">
        <w:rPr>
          <w:bCs/>
          <w:sz w:val="23"/>
          <w:szCs w:val="23"/>
        </w:rPr>
        <w:br/>
      </w:r>
      <w:r w:rsidR="00F55CBB" w:rsidRPr="0007313C">
        <w:rPr>
          <w:bCs/>
          <w:sz w:val="23"/>
          <w:szCs w:val="23"/>
        </w:rPr>
        <w:t xml:space="preserve">Tabellen nedenfor viser hvor stor andel av bygningsmassen som </w:t>
      </w:r>
      <w:r w:rsidR="0055019B" w:rsidRPr="0007313C">
        <w:rPr>
          <w:bCs/>
          <w:sz w:val="23"/>
          <w:szCs w:val="23"/>
        </w:rPr>
        <w:t xml:space="preserve">var </w:t>
      </w:r>
      <w:r w:rsidR="00F55CBB" w:rsidRPr="0007313C">
        <w:rPr>
          <w:bCs/>
          <w:sz w:val="23"/>
          <w:szCs w:val="23"/>
        </w:rPr>
        <w:t>i d</w:t>
      </w:r>
      <w:r w:rsidR="00E06D6D" w:rsidRPr="0007313C">
        <w:rPr>
          <w:bCs/>
          <w:sz w:val="23"/>
          <w:szCs w:val="23"/>
        </w:rPr>
        <w:t>e ulike tilstandsgradene i 2011</w:t>
      </w:r>
      <w:r w:rsidR="00693B42" w:rsidRPr="0007313C">
        <w:rPr>
          <w:bCs/>
          <w:sz w:val="23"/>
          <w:szCs w:val="23"/>
        </w:rPr>
        <w:t xml:space="preserve"> og 2015</w:t>
      </w:r>
      <w:r w:rsidR="00F55CBB" w:rsidRPr="0007313C">
        <w:rPr>
          <w:bCs/>
          <w:sz w:val="23"/>
          <w:szCs w:val="23"/>
        </w:rPr>
        <w:t xml:space="preserve">. </w:t>
      </w:r>
    </w:p>
    <w:p w:rsidR="008461C0" w:rsidRPr="0007313C" w:rsidRDefault="008461C0" w:rsidP="008461C0">
      <w:pPr>
        <w:pStyle w:val="Default"/>
        <w:rPr>
          <w:bCs/>
          <w:sz w:val="23"/>
          <w:szCs w:val="23"/>
        </w:rPr>
      </w:pPr>
    </w:p>
    <w:tbl>
      <w:tblPr>
        <w:tblStyle w:val="Tabellrutenett"/>
        <w:tblW w:w="8217" w:type="dxa"/>
        <w:tblLayout w:type="fixed"/>
        <w:tblLook w:val="04A0" w:firstRow="1" w:lastRow="0" w:firstColumn="1" w:lastColumn="0" w:noHBand="0" w:noVBand="1"/>
      </w:tblPr>
      <w:tblGrid>
        <w:gridCol w:w="1413"/>
        <w:gridCol w:w="1843"/>
        <w:gridCol w:w="1701"/>
        <w:gridCol w:w="1701"/>
        <w:gridCol w:w="1559"/>
      </w:tblGrid>
      <w:tr w:rsidR="00693B42" w:rsidRPr="0007313C" w:rsidTr="00B40C8E">
        <w:tc>
          <w:tcPr>
            <w:tcW w:w="1413" w:type="dxa"/>
          </w:tcPr>
          <w:p w:rsidR="00693B42" w:rsidRPr="0007313C" w:rsidRDefault="00693B42" w:rsidP="00B40C8E">
            <w:pPr>
              <w:pStyle w:val="Default"/>
              <w:rPr>
                <w:b/>
                <w:bCs/>
                <w:sz w:val="20"/>
                <w:szCs w:val="20"/>
              </w:rPr>
            </w:pPr>
            <w:r w:rsidRPr="0007313C">
              <w:rPr>
                <w:b/>
                <w:bCs/>
                <w:sz w:val="20"/>
                <w:szCs w:val="20"/>
              </w:rPr>
              <w:t>ÅR</w:t>
            </w:r>
          </w:p>
        </w:tc>
        <w:tc>
          <w:tcPr>
            <w:tcW w:w="1843" w:type="dxa"/>
          </w:tcPr>
          <w:p w:rsidR="00693B42" w:rsidRPr="0007313C" w:rsidRDefault="00693B42" w:rsidP="00B40C8E">
            <w:pPr>
              <w:pStyle w:val="Default"/>
              <w:rPr>
                <w:b/>
                <w:bCs/>
                <w:sz w:val="20"/>
                <w:szCs w:val="20"/>
              </w:rPr>
            </w:pPr>
            <w:r w:rsidRPr="0007313C">
              <w:rPr>
                <w:b/>
                <w:bCs/>
                <w:sz w:val="20"/>
                <w:szCs w:val="20"/>
              </w:rPr>
              <w:t>Tilstandsgrad 0</w:t>
            </w:r>
          </w:p>
        </w:tc>
        <w:tc>
          <w:tcPr>
            <w:tcW w:w="1701" w:type="dxa"/>
          </w:tcPr>
          <w:p w:rsidR="00693B42" w:rsidRPr="0007313C" w:rsidRDefault="00693B42" w:rsidP="00B40C8E">
            <w:pPr>
              <w:pStyle w:val="Default"/>
              <w:rPr>
                <w:b/>
                <w:bCs/>
                <w:sz w:val="20"/>
                <w:szCs w:val="20"/>
              </w:rPr>
            </w:pPr>
            <w:r w:rsidRPr="0007313C">
              <w:rPr>
                <w:b/>
                <w:bCs/>
                <w:sz w:val="20"/>
                <w:szCs w:val="20"/>
              </w:rPr>
              <w:t>Tilstandsgrad 1</w:t>
            </w:r>
          </w:p>
        </w:tc>
        <w:tc>
          <w:tcPr>
            <w:tcW w:w="1701" w:type="dxa"/>
          </w:tcPr>
          <w:p w:rsidR="00693B42" w:rsidRPr="0007313C" w:rsidRDefault="00693B42" w:rsidP="00B40C8E">
            <w:pPr>
              <w:pStyle w:val="Default"/>
              <w:rPr>
                <w:b/>
                <w:bCs/>
                <w:sz w:val="20"/>
                <w:szCs w:val="20"/>
              </w:rPr>
            </w:pPr>
            <w:r w:rsidRPr="0007313C">
              <w:rPr>
                <w:b/>
                <w:bCs/>
                <w:sz w:val="20"/>
                <w:szCs w:val="20"/>
              </w:rPr>
              <w:t>Tilstandsgrad 2</w:t>
            </w:r>
          </w:p>
        </w:tc>
        <w:tc>
          <w:tcPr>
            <w:tcW w:w="1559" w:type="dxa"/>
          </w:tcPr>
          <w:p w:rsidR="00693B42" w:rsidRPr="0007313C" w:rsidRDefault="00693B42" w:rsidP="00B40C8E">
            <w:pPr>
              <w:pStyle w:val="Default"/>
              <w:rPr>
                <w:b/>
                <w:bCs/>
                <w:sz w:val="20"/>
                <w:szCs w:val="20"/>
              </w:rPr>
            </w:pPr>
            <w:r w:rsidRPr="0007313C">
              <w:rPr>
                <w:b/>
                <w:bCs/>
                <w:sz w:val="20"/>
                <w:szCs w:val="20"/>
              </w:rPr>
              <w:t>Tilstandsgrad 3</w:t>
            </w:r>
          </w:p>
        </w:tc>
      </w:tr>
      <w:tr w:rsidR="00693B42" w:rsidRPr="0007313C" w:rsidTr="00B40C8E">
        <w:tc>
          <w:tcPr>
            <w:tcW w:w="1413" w:type="dxa"/>
          </w:tcPr>
          <w:p w:rsidR="00693B42" w:rsidRPr="0007313C" w:rsidRDefault="00693B42" w:rsidP="00B40C8E">
            <w:pPr>
              <w:pStyle w:val="Default"/>
              <w:rPr>
                <w:b/>
                <w:bCs/>
                <w:sz w:val="22"/>
                <w:szCs w:val="22"/>
              </w:rPr>
            </w:pPr>
            <w:r w:rsidRPr="0007313C">
              <w:rPr>
                <w:b/>
                <w:bCs/>
                <w:sz w:val="22"/>
                <w:szCs w:val="22"/>
              </w:rPr>
              <w:t>2011</w:t>
            </w:r>
          </w:p>
        </w:tc>
        <w:tc>
          <w:tcPr>
            <w:tcW w:w="1843" w:type="dxa"/>
          </w:tcPr>
          <w:p w:rsidR="00693B42" w:rsidRPr="0007313C" w:rsidRDefault="00693B42" w:rsidP="00B40C8E">
            <w:pPr>
              <w:pStyle w:val="Default"/>
              <w:jc w:val="center"/>
              <w:rPr>
                <w:bCs/>
                <w:sz w:val="22"/>
                <w:szCs w:val="22"/>
              </w:rPr>
            </w:pPr>
            <w:r w:rsidRPr="0007313C">
              <w:rPr>
                <w:bCs/>
                <w:sz w:val="22"/>
                <w:szCs w:val="22"/>
              </w:rPr>
              <w:t>10 %</w:t>
            </w:r>
          </w:p>
        </w:tc>
        <w:tc>
          <w:tcPr>
            <w:tcW w:w="1701" w:type="dxa"/>
          </w:tcPr>
          <w:p w:rsidR="00693B42" w:rsidRPr="0007313C" w:rsidRDefault="00693B42" w:rsidP="00B40C8E">
            <w:pPr>
              <w:pStyle w:val="Default"/>
              <w:jc w:val="center"/>
              <w:rPr>
                <w:bCs/>
                <w:sz w:val="22"/>
                <w:szCs w:val="22"/>
              </w:rPr>
            </w:pPr>
            <w:r w:rsidRPr="0007313C">
              <w:rPr>
                <w:bCs/>
                <w:sz w:val="22"/>
                <w:szCs w:val="22"/>
              </w:rPr>
              <w:t>56 %</w:t>
            </w:r>
          </w:p>
        </w:tc>
        <w:tc>
          <w:tcPr>
            <w:tcW w:w="1701" w:type="dxa"/>
          </w:tcPr>
          <w:p w:rsidR="00693B42" w:rsidRPr="0007313C" w:rsidRDefault="00693B42" w:rsidP="00B40C8E">
            <w:pPr>
              <w:pStyle w:val="Default"/>
              <w:jc w:val="center"/>
              <w:rPr>
                <w:bCs/>
                <w:sz w:val="22"/>
                <w:szCs w:val="22"/>
              </w:rPr>
            </w:pPr>
            <w:r w:rsidRPr="0007313C">
              <w:rPr>
                <w:bCs/>
                <w:sz w:val="22"/>
                <w:szCs w:val="22"/>
              </w:rPr>
              <w:t>34 %</w:t>
            </w:r>
          </w:p>
        </w:tc>
        <w:tc>
          <w:tcPr>
            <w:tcW w:w="1559" w:type="dxa"/>
          </w:tcPr>
          <w:p w:rsidR="00693B42" w:rsidRPr="0007313C" w:rsidRDefault="00693B42" w:rsidP="00B40C8E">
            <w:pPr>
              <w:pStyle w:val="Default"/>
              <w:jc w:val="center"/>
              <w:rPr>
                <w:bCs/>
                <w:sz w:val="22"/>
                <w:szCs w:val="22"/>
              </w:rPr>
            </w:pPr>
            <w:r w:rsidRPr="0007313C">
              <w:rPr>
                <w:bCs/>
                <w:sz w:val="22"/>
                <w:szCs w:val="22"/>
              </w:rPr>
              <w:t>0 %</w:t>
            </w:r>
          </w:p>
        </w:tc>
      </w:tr>
      <w:tr w:rsidR="00693B42" w:rsidRPr="0007313C" w:rsidTr="00B40C8E">
        <w:tc>
          <w:tcPr>
            <w:tcW w:w="1413" w:type="dxa"/>
          </w:tcPr>
          <w:p w:rsidR="00693B42" w:rsidRPr="0007313C" w:rsidRDefault="00693B42" w:rsidP="00B40C8E">
            <w:pPr>
              <w:pStyle w:val="Default"/>
              <w:rPr>
                <w:b/>
                <w:bCs/>
                <w:sz w:val="22"/>
                <w:szCs w:val="22"/>
              </w:rPr>
            </w:pPr>
            <w:r w:rsidRPr="0007313C">
              <w:rPr>
                <w:b/>
                <w:bCs/>
                <w:sz w:val="22"/>
                <w:szCs w:val="22"/>
              </w:rPr>
              <w:t>2015</w:t>
            </w:r>
          </w:p>
        </w:tc>
        <w:tc>
          <w:tcPr>
            <w:tcW w:w="1843" w:type="dxa"/>
          </w:tcPr>
          <w:p w:rsidR="00693B42" w:rsidRPr="0007313C" w:rsidRDefault="00693B42" w:rsidP="00B40C8E">
            <w:pPr>
              <w:pStyle w:val="Default"/>
              <w:jc w:val="center"/>
              <w:rPr>
                <w:bCs/>
                <w:sz w:val="22"/>
                <w:szCs w:val="22"/>
              </w:rPr>
            </w:pPr>
            <w:r w:rsidRPr="0007313C">
              <w:rPr>
                <w:bCs/>
                <w:sz w:val="22"/>
                <w:szCs w:val="22"/>
              </w:rPr>
              <w:t xml:space="preserve">  9 %</w:t>
            </w:r>
          </w:p>
        </w:tc>
        <w:tc>
          <w:tcPr>
            <w:tcW w:w="1701" w:type="dxa"/>
          </w:tcPr>
          <w:p w:rsidR="00693B42" w:rsidRPr="0007313C" w:rsidRDefault="00693B42" w:rsidP="00B40C8E">
            <w:pPr>
              <w:pStyle w:val="Default"/>
              <w:jc w:val="center"/>
              <w:rPr>
                <w:bCs/>
                <w:sz w:val="22"/>
                <w:szCs w:val="22"/>
              </w:rPr>
            </w:pPr>
            <w:r w:rsidRPr="0007313C">
              <w:rPr>
                <w:bCs/>
                <w:sz w:val="22"/>
                <w:szCs w:val="22"/>
              </w:rPr>
              <w:t>70 %</w:t>
            </w:r>
          </w:p>
        </w:tc>
        <w:tc>
          <w:tcPr>
            <w:tcW w:w="1701" w:type="dxa"/>
          </w:tcPr>
          <w:p w:rsidR="00693B42" w:rsidRPr="0007313C" w:rsidRDefault="00693B42" w:rsidP="00B40C8E">
            <w:pPr>
              <w:pStyle w:val="Default"/>
              <w:jc w:val="center"/>
              <w:rPr>
                <w:bCs/>
                <w:sz w:val="22"/>
                <w:szCs w:val="22"/>
              </w:rPr>
            </w:pPr>
            <w:r w:rsidRPr="0007313C">
              <w:rPr>
                <w:bCs/>
                <w:sz w:val="22"/>
                <w:szCs w:val="22"/>
              </w:rPr>
              <w:t>21 %</w:t>
            </w:r>
          </w:p>
        </w:tc>
        <w:tc>
          <w:tcPr>
            <w:tcW w:w="1559" w:type="dxa"/>
          </w:tcPr>
          <w:p w:rsidR="00693B42" w:rsidRPr="0007313C" w:rsidRDefault="00693B42" w:rsidP="00B40C8E">
            <w:pPr>
              <w:pStyle w:val="Default"/>
              <w:jc w:val="center"/>
              <w:rPr>
                <w:bCs/>
                <w:sz w:val="22"/>
                <w:szCs w:val="22"/>
              </w:rPr>
            </w:pPr>
            <w:r w:rsidRPr="0007313C">
              <w:rPr>
                <w:bCs/>
                <w:sz w:val="22"/>
                <w:szCs w:val="22"/>
              </w:rPr>
              <w:t>0 %</w:t>
            </w:r>
          </w:p>
        </w:tc>
      </w:tr>
    </w:tbl>
    <w:p w:rsidR="00693B42" w:rsidRPr="0007313C" w:rsidRDefault="00693B42" w:rsidP="00DE72BB">
      <w:pPr>
        <w:pStyle w:val="Default"/>
        <w:rPr>
          <w:bCs/>
          <w:szCs w:val="23"/>
        </w:rPr>
      </w:pPr>
    </w:p>
    <w:p w:rsidR="0098583C" w:rsidRPr="0007313C" w:rsidRDefault="00C45DE3" w:rsidP="00DE72BB">
      <w:pPr>
        <w:pStyle w:val="Default"/>
        <w:rPr>
          <w:bCs/>
          <w:szCs w:val="23"/>
        </w:rPr>
      </w:pPr>
      <w:r w:rsidRPr="0007313C">
        <w:rPr>
          <w:bCs/>
          <w:szCs w:val="23"/>
        </w:rPr>
        <w:t xml:space="preserve">Samtidig ser en også en endring i at det er brukes mindre ressurser til reparasjoner og akutte </w:t>
      </w:r>
      <w:r w:rsidR="00CC7E49" w:rsidRPr="0007313C">
        <w:rPr>
          <w:bCs/>
          <w:szCs w:val="23"/>
        </w:rPr>
        <w:t>utbedringer</w:t>
      </w:r>
      <w:r w:rsidRPr="0007313C">
        <w:rPr>
          <w:bCs/>
          <w:szCs w:val="23"/>
        </w:rPr>
        <w:t xml:space="preserve"> og mer til forbyggende planlagt vedlikehold. Kartlegging av bygningenes tilstand og </w:t>
      </w:r>
      <w:r w:rsidR="00CC7E49" w:rsidRPr="0007313C">
        <w:rPr>
          <w:bCs/>
          <w:szCs w:val="23"/>
        </w:rPr>
        <w:t xml:space="preserve">tilhørende </w:t>
      </w:r>
      <w:r w:rsidRPr="0007313C">
        <w:rPr>
          <w:bCs/>
          <w:szCs w:val="23"/>
        </w:rPr>
        <w:t xml:space="preserve">gode planer </w:t>
      </w:r>
      <w:r w:rsidR="00CC7E49" w:rsidRPr="0007313C">
        <w:rPr>
          <w:bCs/>
          <w:szCs w:val="23"/>
        </w:rPr>
        <w:t xml:space="preserve">for forebyggende vedlikehold bidrar erfaringsmessig til færre akutte tiltak og reparasjoner. </w:t>
      </w:r>
    </w:p>
    <w:p w:rsidR="009F6E55" w:rsidRPr="0007313C" w:rsidRDefault="009F6E55" w:rsidP="00DE72BB">
      <w:pPr>
        <w:pStyle w:val="Default"/>
        <w:rPr>
          <w:b/>
          <w:bCs/>
          <w:sz w:val="28"/>
          <w:szCs w:val="28"/>
        </w:rPr>
      </w:pPr>
    </w:p>
    <w:p w:rsidR="00F74D37" w:rsidRPr="0007313C" w:rsidRDefault="00D51A7B" w:rsidP="00DE72BB">
      <w:pPr>
        <w:pStyle w:val="Default"/>
        <w:rPr>
          <w:rStyle w:val="Sterk"/>
          <w:bCs w:val="0"/>
          <w:sz w:val="28"/>
          <w:szCs w:val="28"/>
        </w:rPr>
      </w:pPr>
      <w:r w:rsidRPr="0007313C">
        <w:rPr>
          <w:b/>
          <w:bCs/>
          <w:sz w:val="28"/>
          <w:szCs w:val="28"/>
        </w:rPr>
        <w:t>Hvordan sikre tilstrekkelig budsjettmidler til vedlikehold og utvikling?</w:t>
      </w:r>
    </w:p>
    <w:p w:rsidR="00BA66B7" w:rsidRPr="0007313C" w:rsidRDefault="00BA66B7" w:rsidP="00F74D37">
      <w:pPr>
        <w:pStyle w:val="Default"/>
        <w:rPr>
          <w:bCs/>
          <w:sz w:val="23"/>
          <w:szCs w:val="23"/>
        </w:rPr>
      </w:pPr>
    </w:p>
    <w:p w:rsidR="007D2EEC" w:rsidRPr="0007313C" w:rsidRDefault="007D2EEC" w:rsidP="007D2EEC">
      <w:pPr>
        <w:pStyle w:val="Default"/>
        <w:rPr>
          <w:bCs/>
          <w:sz w:val="23"/>
          <w:szCs w:val="23"/>
        </w:rPr>
      </w:pPr>
      <w:r w:rsidRPr="0007313C">
        <w:rPr>
          <w:bCs/>
          <w:sz w:val="23"/>
          <w:szCs w:val="23"/>
        </w:rPr>
        <w:t xml:space="preserve">Rektor har som intensjon å </w:t>
      </w:r>
      <w:r w:rsidR="00736A50">
        <w:rPr>
          <w:bCs/>
          <w:sz w:val="23"/>
          <w:szCs w:val="23"/>
        </w:rPr>
        <w:t xml:space="preserve">fjerne </w:t>
      </w:r>
      <w:r w:rsidRPr="0007313C">
        <w:rPr>
          <w:bCs/>
          <w:sz w:val="23"/>
          <w:szCs w:val="23"/>
        </w:rPr>
        <w:t xml:space="preserve">NTNUs vedlikeholdsetterslep i løpet av en 10 års periode. Dette er under forutsetning av at vedlikeholdsetterslepet i bygninger knyttet til campusprosjektene i foreliggende konseptvalgutredning (KVU) for framtidig lokalisering av NTNU og Oceans Space Centre (OSC) finansieres utenom NTNUs ordinære rammer. </w:t>
      </w:r>
    </w:p>
    <w:p w:rsidR="00753617" w:rsidRPr="0007313C" w:rsidRDefault="00753617" w:rsidP="00F74D37">
      <w:pPr>
        <w:pStyle w:val="Default"/>
        <w:rPr>
          <w:bCs/>
          <w:sz w:val="23"/>
          <w:szCs w:val="23"/>
        </w:rPr>
      </w:pPr>
    </w:p>
    <w:p w:rsidR="00311833" w:rsidRPr="0007313C" w:rsidRDefault="00897773" w:rsidP="00F74D37">
      <w:pPr>
        <w:pStyle w:val="Default"/>
        <w:rPr>
          <w:bCs/>
          <w:sz w:val="23"/>
          <w:szCs w:val="23"/>
        </w:rPr>
      </w:pPr>
      <w:r w:rsidRPr="0007313C">
        <w:rPr>
          <w:bCs/>
          <w:sz w:val="23"/>
          <w:szCs w:val="23"/>
        </w:rPr>
        <w:t xml:space="preserve">NTNU har en </w:t>
      </w:r>
      <w:r w:rsidR="00B443D9" w:rsidRPr="0007313C">
        <w:rPr>
          <w:bCs/>
          <w:sz w:val="23"/>
          <w:szCs w:val="23"/>
        </w:rPr>
        <w:t xml:space="preserve">årlig </w:t>
      </w:r>
      <w:r w:rsidRPr="0007313C">
        <w:rPr>
          <w:bCs/>
          <w:sz w:val="23"/>
          <w:szCs w:val="23"/>
        </w:rPr>
        <w:t xml:space="preserve">budsjettramme </w:t>
      </w:r>
      <w:r w:rsidR="00443026" w:rsidRPr="0007313C">
        <w:rPr>
          <w:bCs/>
          <w:sz w:val="23"/>
          <w:szCs w:val="23"/>
        </w:rPr>
        <w:t>i fireårsplanen (201</w:t>
      </w:r>
      <w:r w:rsidR="00802E83" w:rsidRPr="0007313C">
        <w:rPr>
          <w:bCs/>
          <w:sz w:val="23"/>
          <w:szCs w:val="23"/>
        </w:rPr>
        <w:t>6</w:t>
      </w:r>
      <w:r w:rsidR="00443026" w:rsidRPr="0007313C">
        <w:rPr>
          <w:bCs/>
          <w:sz w:val="23"/>
          <w:szCs w:val="23"/>
        </w:rPr>
        <w:t xml:space="preserve"> – 201</w:t>
      </w:r>
      <w:r w:rsidR="00802E83" w:rsidRPr="0007313C">
        <w:rPr>
          <w:bCs/>
          <w:sz w:val="23"/>
          <w:szCs w:val="23"/>
        </w:rPr>
        <w:t>9</w:t>
      </w:r>
      <w:r w:rsidR="00443026" w:rsidRPr="0007313C">
        <w:rPr>
          <w:bCs/>
          <w:sz w:val="23"/>
          <w:szCs w:val="23"/>
        </w:rPr>
        <w:t xml:space="preserve">) </w:t>
      </w:r>
      <w:r w:rsidRPr="0007313C">
        <w:rPr>
          <w:bCs/>
          <w:sz w:val="23"/>
          <w:szCs w:val="23"/>
        </w:rPr>
        <w:t xml:space="preserve">på </w:t>
      </w:r>
      <w:r w:rsidR="00026971" w:rsidRPr="0007313C">
        <w:rPr>
          <w:bCs/>
          <w:sz w:val="23"/>
          <w:szCs w:val="23"/>
        </w:rPr>
        <w:t>20</w:t>
      </w:r>
      <w:r w:rsidRPr="0007313C">
        <w:rPr>
          <w:bCs/>
          <w:sz w:val="23"/>
          <w:szCs w:val="23"/>
        </w:rPr>
        <w:t>0 –</w:t>
      </w:r>
      <w:r w:rsidR="00FD6A94" w:rsidRPr="0007313C">
        <w:rPr>
          <w:bCs/>
          <w:sz w:val="23"/>
          <w:szCs w:val="23"/>
        </w:rPr>
        <w:t xml:space="preserve"> 2</w:t>
      </w:r>
      <w:r w:rsidR="004A21B1" w:rsidRPr="0007313C">
        <w:rPr>
          <w:bCs/>
          <w:sz w:val="23"/>
          <w:szCs w:val="23"/>
        </w:rPr>
        <w:t>3</w:t>
      </w:r>
      <w:r w:rsidRPr="0007313C">
        <w:rPr>
          <w:bCs/>
          <w:sz w:val="23"/>
          <w:szCs w:val="23"/>
        </w:rPr>
        <w:t>0 mill</w:t>
      </w:r>
      <w:r w:rsidR="00A34652" w:rsidRPr="0007313C">
        <w:rPr>
          <w:bCs/>
          <w:sz w:val="23"/>
          <w:szCs w:val="23"/>
        </w:rPr>
        <w:t>.</w:t>
      </w:r>
      <w:r w:rsidRPr="0007313C">
        <w:rPr>
          <w:bCs/>
          <w:sz w:val="23"/>
          <w:szCs w:val="23"/>
        </w:rPr>
        <w:t xml:space="preserve"> kr </w:t>
      </w:r>
      <w:r w:rsidR="00B443D9" w:rsidRPr="0007313C">
        <w:rPr>
          <w:bCs/>
          <w:sz w:val="23"/>
          <w:szCs w:val="23"/>
        </w:rPr>
        <w:t>til vedlikehold og utvikling</w:t>
      </w:r>
      <w:r w:rsidR="00443026" w:rsidRPr="0007313C">
        <w:rPr>
          <w:bCs/>
          <w:sz w:val="23"/>
          <w:szCs w:val="23"/>
        </w:rPr>
        <w:t xml:space="preserve"> av </w:t>
      </w:r>
      <w:r w:rsidR="007D2EEC" w:rsidRPr="0007313C">
        <w:rPr>
          <w:bCs/>
          <w:sz w:val="23"/>
          <w:szCs w:val="23"/>
        </w:rPr>
        <w:t xml:space="preserve">egne </w:t>
      </w:r>
      <w:r w:rsidR="00443026" w:rsidRPr="0007313C">
        <w:rPr>
          <w:bCs/>
          <w:sz w:val="23"/>
          <w:szCs w:val="23"/>
        </w:rPr>
        <w:t>bygninger</w:t>
      </w:r>
      <w:r w:rsidR="00FD6A94" w:rsidRPr="0007313C">
        <w:rPr>
          <w:bCs/>
          <w:sz w:val="23"/>
          <w:szCs w:val="23"/>
        </w:rPr>
        <w:t>.</w:t>
      </w:r>
      <w:r w:rsidR="004247AC" w:rsidRPr="0007313C">
        <w:rPr>
          <w:bCs/>
          <w:sz w:val="23"/>
          <w:szCs w:val="23"/>
        </w:rPr>
        <w:t xml:space="preserve"> Dette inkluderer e</w:t>
      </w:r>
      <w:r w:rsidR="00FD6A94" w:rsidRPr="0007313C">
        <w:rPr>
          <w:bCs/>
          <w:sz w:val="23"/>
          <w:szCs w:val="23"/>
        </w:rPr>
        <w:t xml:space="preserve">n </w:t>
      </w:r>
      <w:r w:rsidR="004E7233" w:rsidRPr="0007313C">
        <w:rPr>
          <w:bCs/>
          <w:sz w:val="23"/>
          <w:szCs w:val="23"/>
        </w:rPr>
        <w:t xml:space="preserve">planlagt </w:t>
      </w:r>
      <w:r w:rsidR="00FD6A94" w:rsidRPr="0007313C">
        <w:rPr>
          <w:bCs/>
          <w:sz w:val="23"/>
          <w:szCs w:val="23"/>
        </w:rPr>
        <w:t>økning i rammen</w:t>
      </w:r>
      <w:r w:rsidR="004E7233" w:rsidRPr="0007313C">
        <w:rPr>
          <w:bCs/>
          <w:sz w:val="23"/>
          <w:szCs w:val="23"/>
        </w:rPr>
        <w:t xml:space="preserve"> </w:t>
      </w:r>
      <w:r w:rsidR="004247AC" w:rsidRPr="0007313C">
        <w:rPr>
          <w:bCs/>
          <w:sz w:val="23"/>
          <w:szCs w:val="23"/>
        </w:rPr>
        <w:t>på 10 – 30 mill</w:t>
      </w:r>
      <w:r w:rsidR="00A34652" w:rsidRPr="0007313C">
        <w:rPr>
          <w:bCs/>
          <w:sz w:val="23"/>
          <w:szCs w:val="23"/>
        </w:rPr>
        <w:t>.</w:t>
      </w:r>
      <w:r w:rsidR="004247AC" w:rsidRPr="0007313C">
        <w:rPr>
          <w:bCs/>
          <w:sz w:val="23"/>
          <w:szCs w:val="23"/>
        </w:rPr>
        <w:t xml:space="preserve"> </w:t>
      </w:r>
      <w:r w:rsidR="00222A7C" w:rsidRPr="0007313C">
        <w:rPr>
          <w:bCs/>
          <w:sz w:val="23"/>
          <w:szCs w:val="23"/>
        </w:rPr>
        <w:t xml:space="preserve">kr </w:t>
      </w:r>
      <w:r w:rsidR="004247AC" w:rsidRPr="0007313C">
        <w:rPr>
          <w:bCs/>
          <w:sz w:val="23"/>
          <w:szCs w:val="23"/>
        </w:rPr>
        <w:t xml:space="preserve">per år </w:t>
      </w:r>
      <w:r w:rsidR="004E7233" w:rsidRPr="0007313C">
        <w:rPr>
          <w:bCs/>
          <w:sz w:val="23"/>
          <w:szCs w:val="23"/>
        </w:rPr>
        <w:t xml:space="preserve">i perioden 2016 – 2018. </w:t>
      </w:r>
      <w:r w:rsidR="004247AC" w:rsidRPr="0007313C">
        <w:rPr>
          <w:bCs/>
          <w:sz w:val="23"/>
          <w:szCs w:val="23"/>
        </w:rPr>
        <w:t xml:space="preserve">Egenproduksjon av </w:t>
      </w:r>
      <w:r w:rsidR="007D2EEC" w:rsidRPr="0007313C">
        <w:rPr>
          <w:bCs/>
          <w:sz w:val="23"/>
          <w:szCs w:val="23"/>
        </w:rPr>
        <w:t xml:space="preserve">vedlikehold utført av </w:t>
      </w:r>
      <w:r w:rsidR="005F33F9">
        <w:rPr>
          <w:bCs/>
          <w:sz w:val="23"/>
          <w:szCs w:val="23"/>
        </w:rPr>
        <w:t xml:space="preserve">egne </w:t>
      </w:r>
      <w:r w:rsidR="007D2EEC" w:rsidRPr="0007313C">
        <w:rPr>
          <w:bCs/>
          <w:sz w:val="23"/>
          <w:szCs w:val="23"/>
        </w:rPr>
        <w:t>håndverkere</w:t>
      </w:r>
      <w:r w:rsidR="004247AC" w:rsidRPr="0007313C">
        <w:rPr>
          <w:bCs/>
          <w:sz w:val="23"/>
          <w:szCs w:val="23"/>
        </w:rPr>
        <w:t xml:space="preserve"> er inkludert.</w:t>
      </w:r>
      <w:r w:rsidR="00443026" w:rsidRPr="0007313C">
        <w:rPr>
          <w:bCs/>
          <w:sz w:val="23"/>
          <w:szCs w:val="23"/>
        </w:rPr>
        <w:t xml:space="preserve"> </w:t>
      </w:r>
      <w:r w:rsidR="004E7233" w:rsidRPr="0007313C">
        <w:rPr>
          <w:bCs/>
          <w:sz w:val="23"/>
          <w:szCs w:val="23"/>
        </w:rPr>
        <w:t xml:space="preserve">Ut fra </w:t>
      </w:r>
      <w:r w:rsidR="004247AC" w:rsidRPr="0007313C">
        <w:rPr>
          <w:bCs/>
          <w:sz w:val="23"/>
          <w:szCs w:val="23"/>
        </w:rPr>
        <w:t>bransjenormer i form av nøkkeltall må NTNU bruke anslagsvis</w:t>
      </w:r>
      <w:r w:rsidR="004E7233" w:rsidRPr="0007313C">
        <w:rPr>
          <w:bCs/>
          <w:sz w:val="23"/>
          <w:szCs w:val="23"/>
        </w:rPr>
        <w:t xml:space="preserve"> 110 mill</w:t>
      </w:r>
      <w:r w:rsidR="00A34652" w:rsidRPr="0007313C">
        <w:rPr>
          <w:bCs/>
          <w:sz w:val="23"/>
          <w:szCs w:val="23"/>
        </w:rPr>
        <w:t>.</w:t>
      </w:r>
      <w:r w:rsidR="007D2EEC" w:rsidRPr="0007313C">
        <w:rPr>
          <w:bCs/>
          <w:sz w:val="23"/>
          <w:szCs w:val="23"/>
        </w:rPr>
        <w:t xml:space="preserve"> per år til verdibevarende </w:t>
      </w:r>
      <w:r w:rsidR="004E7233" w:rsidRPr="0007313C">
        <w:rPr>
          <w:bCs/>
          <w:sz w:val="23"/>
          <w:szCs w:val="23"/>
        </w:rPr>
        <w:t>vedlikehold</w:t>
      </w:r>
      <w:r w:rsidR="004247AC" w:rsidRPr="0007313C">
        <w:rPr>
          <w:bCs/>
          <w:sz w:val="23"/>
          <w:szCs w:val="23"/>
        </w:rPr>
        <w:t xml:space="preserve"> for å hindre</w:t>
      </w:r>
      <w:r w:rsidR="00311833" w:rsidRPr="0007313C">
        <w:rPr>
          <w:bCs/>
          <w:sz w:val="23"/>
          <w:szCs w:val="23"/>
        </w:rPr>
        <w:t xml:space="preserve"> forfall som følge av jevn og</w:t>
      </w:r>
      <w:r w:rsidR="004247AC" w:rsidRPr="0007313C">
        <w:rPr>
          <w:bCs/>
          <w:sz w:val="23"/>
          <w:szCs w:val="23"/>
        </w:rPr>
        <w:t xml:space="preserve"> normal slitasje.</w:t>
      </w:r>
    </w:p>
    <w:p w:rsidR="00E00CAB" w:rsidRPr="0007313C" w:rsidRDefault="00E00CAB" w:rsidP="00F74D37">
      <w:pPr>
        <w:pStyle w:val="Default"/>
        <w:rPr>
          <w:bCs/>
          <w:sz w:val="23"/>
          <w:szCs w:val="23"/>
        </w:rPr>
      </w:pPr>
    </w:p>
    <w:p w:rsidR="003130AB" w:rsidRPr="0007313C" w:rsidRDefault="00E5331B" w:rsidP="00F74D37">
      <w:pPr>
        <w:pStyle w:val="Default"/>
        <w:rPr>
          <w:bCs/>
          <w:sz w:val="23"/>
          <w:szCs w:val="23"/>
        </w:rPr>
      </w:pPr>
      <w:r w:rsidRPr="0007313C">
        <w:rPr>
          <w:bCs/>
          <w:sz w:val="23"/>
          <w:szCs w:val="23"/>
        </w:rPr>
        <w:t xml:space="preserve">Med en budsjettramme på </w:t>
      </w:r>
      <w:r w:rsidR="00443026" w:rsidRPr="0007313C">
        <w:rPr>
          <w:bCs/>
          <w:sz w:val="23"/>
          <w:szCs w:val="23"/>
        </w:rPr>
        <w:t>ca</w:t>
      </w:r>
      <w:r w:rsidR="00A34652" w:rsidRPr="0007313C">
        <w:rPr>
          <w:bCs/>
          <w:sz w:val="23"/>
          <w:szCs w:val="23"/>
        </w:rPr>
        <w:t>.</w:t>
      </w:r>
      <w:r w:rsidR="00443026" w:rsidRPr="0007313C">
        <w:rPr>
          <w:bCs/>
          <w:sz w:val="23"/>
          <w:szCs w:val="23"/>
        </w:rPr>
        <w:t xml:space="preserve"> </w:t>
      </w:r>
      <w:r w:rsidR="004A21B1" w:rsidRPr="0007313C">
        <w:rPr>
          <w:bCs/>
          <w:sz w:val="23"/>
          <w:szCs w:val="23"/>
        </w:rPr>
        <w:t>20</w:t>
      </w:r>
      <w:r w:rsidRPr="0007313C">
        <w:rPr>
          <w:bCs/>
          <w:sz w:val="23"/>
          <w:szCs w:val="23"/>
        </w:rPr>
        <w:t>0 – 2</w:t>
      </w:r>
      <w:r w:rsidR="004A21B1" w:rsidRPr="0007313C">
        <w:rPr>
          <w:bCs/>
          <w:sz w:val="23"/>
          <w:szCs w:val="23"/>
        </w:rPr>
        <w:t>3</w:t>
      </w:r>
      <w:r w:rsidRPr="0007313C">
        <w:rPr>
          <w:bCs/>
          <w:sz w:val="23"/>
          <w:szCs w:val="23"/>
        </w:rPr>
        <w:t>0 mill</w:t>
      </w:r>
      <w:r w:rsidR="00A34652" w:rsidRPr="0007313C">
        <w:rPr>
          <w:bCs/>
          <w:sz w:val="23"/>
          <w:szCs w:val="23"/>
        </w:rPr>
        <w:t>.</w:t>
      </w:r>
      <w:r w:rsidRPr="0007313C">
        <w:rPr>
          <w:bCs/>
          <w:sz w:val="23"/>
          <w:szCs w:val="23"/>
        </w:rPr>
        <w:t xml:space="preserve"> kr og et årlig behov på ca</w:t>
      </w:r>
      <w:r w:rsidR="00A34652" w:rsidRPr="0007313C">
        <w:rPr>
          <w:bCs/>
          <w:sz w:val="23"/>
          <w:szCs w:val="23"/>
        </w:rPr>
        <w:t>.</w:t>
      </w:r>
      <w:r w:rsidRPr="0007313C">
        <w:rPr>
          <w:bCs/>
          <w:sz w:val="23"/>
          <w:szCs w:val="23"/>
        </w:rPr>
        <w:t xml:space="preserve"> 110 mill</w:t>
      </w:r>
      <w:r w:rsidR="00A34652" w:rsidRPr="0007313C">
        <w:rPr>
          <w:bCs/>
          <w:sz w:val="23"/>
          <w:szCs w:val="23"/>
        </w:rPr>
        <w:t>.</w:t>
      </w:r>
      <w:r w:rsidRPr="0007313C">
        <w:rPr>
          <w:bCs/>
          <w:sz w:val="23"/>
          <w:szCs w:val="23"/>
        </w:rPr>
        <w:t xml:space="preserve"> </w:t>
      </w:r>
      <w:r w:rsidR="003130AB" w:rsidRPr="0007313C">
        <w:rPr>
          <w:bCs/>
          <w:sz w:val="23"/>
          <w:szCs w:val="23"/>
        </w:rPr>
        <w:t xml:space="preserve">til verdibevarende vedlikehold </w:t>
      </w:r>
      <w:r w:rsidRPr="0007313C">
        <w:rPr>
          <w:bCs/>
          <w:sz w:val="23"/>
          <w:szCs w:val="23"/>
        </w:rPr>
        <w:t>har NTNU i utgangspunktet satt av tilstrekkelig midler til å ta vare på bygningsmassen på en forsvarlig måte. Utfordringen er imidlertid at det gjennom flere år tidligere ikke har vært satt av tilstrekkelig mid</w:t>
      </w:r>
      <w:r w:rsidR="00E00CAB" w:rsidRPr="0007313C">
        <w:rPr>
          <w:bCs/>
          <w:sz w:val="23"/>
          <w:szCs w:val="23"/>
        </w:rPr>
        <w:t>ler til fore</w:t>
      </w:r>
      <w:r w:rsidRPr="0007313C">
        <w:rPr>
          <w:bCs/>
          <w:sz w:val="23"/>
          <w:szCs w:val="23"/>
        </w:rPr>
        <w:t>byggende vedlikehold</w:t>
      </w:r>
      <w:r w:rsidR="003130AB" w:rsidRPr="0007313C">
        <w:rPr>
          <w:bCs/>
          <w:sz w:val="23"/>
          <w:szCs w:val="23"/>
        </w:rPr>
        <w:t xml:space="preserve"> og at </w:t>
      </w:r>
    </w:p>
    <w:p w:rsidR="00311833" w:rsidRPr="0007313C" w:rsidRDefault="005F33F9" w:rsidP="00F74D37">
      <w:pPr>
        <w:pStyle w:val="Default"/>
        <w:rPr>
          <w:bCs/>
          <w:sz w:val="23"/>
          <w:szCs w:val="23"/>
        </w:rPr>
      </w:pPr>
      <w:proofErr w:type="gramStart"/>
      <w:r>
        <w:rPr>
          <w:bCs/>
          <w:sz w:val="23"/>
          <w:szCs w:val="23"/>
        </w:rPr>
        <w:t>det</w:t>
      </w:r>
      <w:proofErr w:type="gramEnd"/>
      <w:r>
        <w:rPr>
          <w:bCs/>
          <w:sz w:val="23"/>
          <w:szCs w:val="23"/>
        </w:rPr>
        <w:t xml:space="preserve"> derfor </w:t>
      </w:r>
      <w:r w:rsidR="003130AB" w:rsidRPr="0007313C">
        <w:rPr>
          <w:bCs/>
          <w:sz w:val="23"/>
          <w:szCs w:val="23"/>
        </w:rPr>
        <w:t>er bygd opp et vedlik</w:t>
      </w:r>
      <w:r w:rsidR="00AA1715">
        <w:rPr>
          <w:bCs/>
          <w:sz w:val="23"/>
          <w:szCs w:val="23"/>
        </w:rPr>
        <w:t>e</w:t>
      </w:r>
      <w:r w:rsidR="003130AB" w:rsidRPr="0007313C">
        <w:rPr>
          <w:bCs/>
          <w:sz w:val="23"/>
          <w:szCs w:val="23"/>
        </w:rPr>
        <w:t>holdsetterslep.</w:t>
      </w:r>
    </w:p>
    <w:p w:rsidR="00E5331B" w:rsidRPr="0007313C" w:rsidRDefault="00E5331B" w:rsidP="00F74D37">
      <w:pPr>
        <w:pStyle w:val="Default"/>
        <w:rPr>
          <w:bCs/>
          <w:sz w:val="23"/>
          <w:szCs w:val="23"/>
        </w:rPr>
      </w:pPr>
    </w:p>
    <w:p w:rsidR="00C40976" w:rsidRPr="0007313C" w:rsidRDefault="00C40976" w:rsidP="00C40976">
      <w:pPr>
        <w:pStyle w:val="Default"/>
        <w:rPr>
          <w:bCs/>
          <w:sz w:val="23"/>
          <w:szCs w:val="23"/>
        </w:rPr>
      </w:pPr>
      <w:r w:rsidRPr="0007313C">
        <w:rPr>
          <w:bCs/>
          <w:sz w:val="23"/>
          <w:szCs w:val="23"/>
        </w:rPr>
        <w:t xml:space="preserve">Når en trekker fra vedlikeholdsetterslepet i bygningene som er berørt av </w:t>
      </w:r>
      <w:r w:rsidR="00CF4D9A" w:rsidRPr="0007313C">
        <w:rPr>
          <w:bCs/>
          <w:sz w:val="23"/>
          <w:szCs w:val="23"/>
        </w:rPr>
        <w:t>campus</w:t>
      </w:r>
      <w:r w:rsidRPr="0007313C">
        <w:rPr>
          <w:bCs/>
          <w:sz w:val="23"/>
          <w:szCs w:val="23"/>
        </w:rPr>
        <w:t xml:space="preserve">prosjektene i </w:t>
      </w:r>
      <w:proofErr w:type="spellStart"/>
      <w:r w:rsidRPr="0007313C">
        <w:rPr>
          <w:bCs/>
          <w:sz w:val="23"/>
          <w:szCs w:val="23"/>
        </w:rPr>
        <w:t>KVUen</w:t>
      </w:r>
      <w:proofErr w:type="spellEnd"/>
      <w:r w:rsidRPr="0007313C">
        <w:rPr>
          <w:bCs/>
          <w:sz w:val="23"/>
          <w:szCs w:val="23"/>
        </w:rPr>
        <w:t xml:space="preserve"> og OSC er det et samlet behov på 1,3 – 1,8 mrd. kr for å fjerne det øvrige vedlikeholdsetterslepet. </w:t>
      </w:r>
      <w:r w:rsidR="00F92C69">
        <w:rPr>
          <w:bCs/>
          <w:sz w:val="23"/>
          <w:szCs w:val="23"/>
        </w:rPr>
        <w:t xml:space="preserve">Under forutsetning av at </w:t>
      </w:r>
      <w:r w:rsidRPr="0007313C">
        <w:rPr>
          <w:bCs/>
          <w:sz w:val="23"/>
          <w:szCs w:val="23"/>
        </w:rPr>
        <w:t>NTNUs campusprosjekt realiser</w:t>
      </w:r>
      <w:r w:rsidR="00F92C69">
        <w:rPr>
          <w:bCs/>
          <w:sz w:val="23"/>
          <w:szCs w:val="23"/>
        </w:rPr>
        <w:t>es</w:t>
      </w:r>
      <w:r w:rsidRPr="0007313C">
        <w:rPr>
          <w:bCs/>
          <w:sz w:val="23"/>
          <w:szCs w:val="23"/>
        </w:rPr>
        <w:t>, har NTNU en ambisjon om å fjerne vedlikeholdsetterslepet i løpet av 10 års periode. Det betyr et årlig behov på 130 – 180 mill. k</w:t>
      </w:r>
      <w:r w:rsidR="00F92C69">
        <w:rPr>
          <w:bCs/>
          <w:sz w:val="23"/>
          <w:szCs w:val="23"/>
        </w:rPr>
        <w:t xml:space="preserve">r utover det som trengs til årlig verdibevarende </w:t>
      </w:r>
      <w:r w:rsidRPr="0007313C">
        <w:rPr>
          <w:bCs/>
          <w:sz w:val="23"/>
          <w:szCs w:val="23"/>
        </w:rPr>
        <w:t>vedlikehold.</w:t>
      </w:r>
      <w:r w:rsidR="00E73795" w:rsidRPr="0007313C">
        <w:rPr>
          <w:bCs/>
          <w:sz w:val="23"/>
          <w:szCs w:val="23"/>
        </w:rPr>
        <w:t xml:space="preserve"> </w:t>
      </w:r>
    </w:p>
    <w:p w:rsidR="001A3664" w:rsidRPr="0007313C" w:rsidRDefault="001A3664" w:rsidP="00C40976">
      <w:pPr>
        <w:pStyle w:val="Default"/>
        <w:rPr>
          <w:bCs/>
          <w:sz w:val="23"/>
          <w:szCs w:val="23"/>
        </w:rPr>
      </w:pPr>
    </w:p>
    <w:p w:rsidR="00586A31" w:rsidRPr="0007313C" w:rsidRDefault="00586A31" w:rsidP="00586A31">
      <w:pPr>
        <w:pStyle w:val="Default"/>
        <w:rPr>
          <w:bCs/>
          <w:sz w:val="23"/>
          <w:szCs w:val="23"/>
        </w:rPr>
      </w:pPr>
      <w:r w:rsidRPr="0007313C">
        <w:rPr>
          <w:bCs/>
          <w:sz w:val="23"/>
          <w:szCs w:val="23"/>
        </w:rPr>
        <w:t xml:space="preserve">Dette viser at NTNU med avsatte budsjettrammer i kommende fireårsperioden vil være nær å ha en ramme som både </w:t>
      </w:r>
      <w:r w:rsidR="00F92C69">
        <w:rPr>
          <w:bCs/>
          <w:sz w:val="23"/>
          <w:szCs w:val="23"/>
        </w:rPr>
        <w:t xml:space="preserve">kan </w:t>
      </w:r>
      <w:r w:rsidRPr="0007313C">
        <w:rPr>
          <w:bCs/>
          <w:sz w:val="23"/>
          <w:szCs w:val="23"/>
        </w:rPr>
        <w:t xml:space="preserve">dekke verdibevarende vedlikehold og bidra til nedbygging av vedlikeholdsetterslepet i løpet av 10 år.  </w:t>
      </w:r>
    </w:p>
    <w:p w:rsidR="00586A31" w:rsidRPr="0007313C" w:rsidRDefault="00586A31" w:rsidP="00586A31">
      <w:pPr>
        <w:pStyle w:val="Default"/>
        <w:rPr>
          <w:bCs/>
          <w:sz w:val="23"/>
          <w:szCs w:val="23"/>
        </w:rPr>
      </w:pPr>
    </w:p>
    <w:p w:rsidR="00586A31" w:rsidRPr="0007313C" w:rsidRDefault="00586A31" w:rsidP="00586A31">
      <w:pPr>
        <w:pStyle w:val="Default"/>
        <w:rPr>
          <w:bCs/>
          <w:sz w:val="23"/>
          <w:szCs w:val="23"/>
        </w:rPr>
      </w:pPr>
      <w:r w:rsidRPr="0007313C">
        <w:rPr>
          <w:bCs/>
          <w:sz w:val="23"/>
          <w:szCs w:val="23"/>
        </w:rPr>
        <w:t>Budsjettrammene for vedlikehold og utvikling må også dekke noe strategisk og funksjonell oppgradering av egen bygningsmasse som for eksempel utvikling av mer innovative læringsareal og oppgradering til mer framtidsrettet laboratorieinfrastruktur. I 2017 må budsjettrammene også dekke n</w:t>
      </w:r>
      <w:r w:rsidR="00F92C69">
        <w:rPr>
          <w:bCs/>
          <w:sz w:val="23"/>
          <w:szCs w:val="23"/>
        </w:rPr>
        <w:t xml:space="preserve">ytt areal for ny MR-skanner </w:t>
      </w:r>
      <w:r w:rsidRPr="0007313C">
        <w:rPr>
          <w:bCs/>
          <w:sz w:val="23"/>
          <w:szCs w:val="23"/>
        </w:rPr>
        <w:t xml:space="preserve">på campus Øya og NTNUs bidrag til nytt laboratoriebygg for ZEB (Zero </w:t>
      </w:r>
      <w:proofErr w:type="spellStart"/>
      <w:r w:rsidRPr="0007313C">
        <w:rPr>
          <w:bCs/>
          <w:sz w:val="23"/>
          <w:szCs w:val="23"/>
        </w:rPr>
        <w:t>Emission</w:t>
      </w:r>
      <w:proofErr w:type="spellEnd"/>
      <w:r w:rsidRPr="0007313C">
        <w:rPr>
          <w:bCs/>
          <w:sz w:val="23"/>
          <w:szCs w:val="23"/>
        </w:rPr>
        <w:t xml:space="preserve"> </w:t>
      </w:r>
      <w:proofErr w:type="spellStart"/>
      <w:r w:rsidRPr="0007313C">
        <w:rPr>
          <w:bCs/>
          <w:sz w:val="23"/>
          <w:szCs w:val="23"/>
        </w:rPr>
        <w:t>Building</w:t>
      </w:r>
      <w:proofErr w:type="spellEnd"/>
      <w:r w:rsidRPr="0007313C">
        <w:rPr>
          <w:bCs/>
          <w:sz w:val="23"/>
          <w:szCs w:val="23"/>
        </w:rPr>
        <w:t xml:space="preserve">). </w:t>
      </w:r>
    </w:p>
    <w:p w:rsidR="00586A31" w:rsidRPr="0007313C" w:rsidRDefault="00586A31" w:rsidP="00586A31">
      <w:pPr>
        <w:pStyle w:val="Default"/>
        <w:rPr>
          <w:bCs/>
          <w:sz w:val="23"/>
          <w:szCs w:val="23"/>
        </w:rPr>
      </w:pPr>
    </w:p>
    <w:p w:rsidR="00586A31" w:rsidRPr="0007313C" w:rsidRDefault="00586A31" w:rsidP="00586A31">
      <w:pPr>
        <w:pStyle w:val="Default"/>
        <w:rPr>
          <w:bCs/>
          <w:sz w:val="23"/>
          <w:szCs w:val="23"/>
        </w:rPr>
      </w:pPr>
      <w:r w:rsidRPr="0007313C">
        <w:rPr>
          <w:bCs/>
          <w:sz w:val="23"/>
          <w:szCs w:val="23"/>
        </w:rPr>
        <w:t>Dette betyr at det fremdeles vil kreves noe økonomiske omdisponeringer for å få redusert vedlikeholdsetterslepet samtidig som en har tilstrekkelig med midler til verdibevarende ve</w:t>
      </w:r>
      <w:r w:rsidR="00F92C69">
        <w:rPr>
          <w:bCs/>
          <w:sz w:val="23"/>
          <w:szCs w:val="23"/>
        </w:rPr>
        <w:t xml:space="preserve">dlikehold og midler til </w:t>
      </w:r>
      <w:r w:rsidRPr="0007313C">
        <w:rPr>
          <w:bCs/>
          <w:sz w:val="23"/>
          <w:szCs w:val="23"/>
        </w:rPr>
        <w:t>strategisk utvikling. Økonomiske omdisponeringer kan dreie seg om salg av eiendom NTNU ikke lenger har behov for, frigiving av ressurser ved effektivisering av bygningsdriften, arealeffektivisering som gir reduserte leiekostnader mm.</w:t>
      </w:r>
    </w:p>
    <w:p w:rsidR="001E4FC9" w:rsidRPr="0007313C" w:rsidRDefault="001E4FC9" w:rsidP="00F74D37">
      <w:pPr>
        <w:pStyle w:val="Default"/>
        <w:rPr>
          <w:bCs/>
          <w:sz w:val="23"/>
          <w:szCs w:val="23"/>
        </w:rPr>
      </w:pPr>
    </w:p>
    <w:p w:rsidR="00F74D37" w:rsidRPr="0007313C" w:rsidRDefault="00D245F4" w:rsidP="00F74D37">
      <w:pPr>
        <w:pStyle w:val="Default"/>
        <w:rPr>
          <w:b/>
          <w:bCs/>
          <w:sz w:val="28"/>
          <w:szCs w:val="28"/>
        </w:rPr>
      </w:pPr>
      <w:r w:rsidRPr="0007313C">
        <w:rPr>
          <w:b/>
          <w:bCs/>
          <w:sz w:val="28"/>
          <w:szCs w:val="28"/>
        </w:rPr>
        <w:t>Plan</w:t>
      </w:r>
      <w:r w:rsidR="00A85409" w:rsidRPr="0007313C">
        <w:rPr>
          <w:b/>
          <w:bCs/>
          <w:sz w:val="28"/>
          <w:szCs w:val="28"/>
        </w:rPr>
        <w:t>er</w:t>
      </w:r>
      <w:r w:rsidRPr="0007313C">
        <w:rPr>
          <w:b/>
          <w:bCs/>
          <w:sz w:val="28"/>
          <w:szCs w:val="28"/>
        </w:rPr>
        <w:t xml:space="preserve"> for vedlikehold og utvikling</w:t>
      </w:r>
      <w:r w:rsidR="00A85409" w:rsidRPr="0007313C">
        <w:rPr>
          <w:b/>
          <w:bCs/>
          <w:sz w:val="28"/>
          <w:szCs w:val="28"/>
        </w:rPr>
        <w:t xml:space="preserve"> </w:t>
      </w:r>
    </w:p>
    <w:p w:rsidR="00586A31" w:rsidRPr="0007313C" w:rsidRDefault="00586A31" w:rsidP="00F74D37">
      <w:pPr>
        <w:pStyle w:val="Default"/>
        <w:rPr>
          <w:bCs/>
        </w:rPr>
      </w:pPr>
    </w:p>
    <w:p w:rsidR="00A95C1D" w:rsidRPr="0007313C" w:rsidRDefault="00586A31" w:rsidP="00F74D37">
      <w:pPr>
        <w:pStyle w:val="Default"/>
        <w:rPr>
          <w:b/>
          <w:bCs/>
          <w:sz w:val="28"/>
          <w:szCs w:val="28"/>
        </w:rPr>
      </w:pPr>
      <w:r w:rsidRPr="0007313C">
        <w:rPr>
          <w:bCs/>
        </w:rPr>
        <w:t>I dette punktet orienteres det først om arbeidet med planer i arealer til de tidligere høgskolene, der NTNU er leietaker. Deretter er det en egen orienteri</w:t>
      </w:r>
      <w:r w:rsidR="00E44F2F">
        <w:rPr>
          <w:bCs/>
        </w:rPr>
        <w:t xml:space="preserve">ng om planene </w:t>
      </w:r>
      <w:r w:rsidRPr="0007313C">
        <w:rPr>
          <w:bCs/>
        </w:rPr>
        <w:t xml:space="preserve">i bygninger der NTNU er eier. Det vises for øvrig til styresak </w:t>
      </w:r>
      <w:r w:rsidRPr="0007313C">
        <w:t>O-sak 30/15 – Campusprosjekt i nye NTNU – orientering om prosjekt og videre organisering, som omhandler campusprosjekter. Disse berøres ikke i det følgende.</w:t>
      </w:r>
    </w:p>
    <w:p w:rsidR="00586A31" w:rsidRPr="0007313C" w:rsidRDefault="00586A31" w:rsidP="00F74D37">
      <w:pPr>
        <w:pStyle w:val="Default"/>
        <w:rPr>
          <w:b/>
          <w:bCs/>
          <w:sz w:val="28"/>
          <w:szCs w:val="28"/>
        </w:rPr>
      </w:pPr>
    </w:p>
    <w:p w:rsidR="00DE43AD" w:rsidRPr="0007313C" w:rsidRDefault="00DE43AD" w:rsidP="00DE43AD">
      <w:pPr>
        <w:pStyle w:val="Default"/>
        <w:rPr>
          <w:b/>
          <w:bCs/>
          <w:u w:val="single"/>
        </w:rPr>
      </w:pPr>
      <w:r w:rsidRPr="0007313C">
        <w:rPr>
          <w:b/>
          <w:bCs/>
          <w:u w:val="single"/>
        </w:rPr>
        <w:t>Planer for vedlikehold og utvikling ved de tidligere høgskolene.</w:t>
      </w:r>
    </w:p>
    <w:p w:rsidR="00586A31" w:rsidRPr="0007313C" w:rsidRDefault="00586A31" w:rsidP="00F74D37">
      <w:pPr>
        <w:pStyle w:val="Default"/>
        <w:rPr>
          <w:b/>
          <w:bCs/>
          <w:sz w:val="28"/>
          <w:szCs w:val="28"/>
        </w:rPr>
      </w:pPr>
    </w:p>
    <w:p w:rsidR="0086518E" w:rsidRPr="0007313C" w:rsidRDefault="00E44F2F" w:rsidP="00F74D37">
      <w:pPr>
        <w:pStyle w:val="Default"/>
        <w:rPr>
          <w:bCs/>
        </w:rPr>
      </w:pPr>
      <w:r>
        <w:rPr>
          <w:bCs/>
        </w:rPr>
        <w:t>Ved høgskolene er det</w:t>
      </w:r>
      <w:r w:rsidR="00A95C1D" w:rsidRPr="0007313C">
        <w:rPr>
          <w:bCs/>
        </w:rPr>
        <w:t xml:space="preserve"> egne planer for vedlikehold og utvikling utarbeidet av </w:t>
      </w:r>
      <w:r w:rsidR="00A85409" w:rsidRPr="0007313C">
        <w:rPr>
          <w:bCs/>
        </w:rPr>
        <w:t>Statsbygg og de øvrige eiene</w:t>
      </w:r>
      <w:r w:rsidR="00A95C1D" w:rsidRPr="0007313C">
        <w:rPr>
          <w:bCs/>
        </w:rPr>
        <w:t xml:space="preserve"> av bygningene. </w:t>
      </w:r>
      <w:r w:rsidR="000A4CEF" w:rsidRPr="0007313C">
        <w:rPr>
          <w:bCs/>
        </w:rPr>
        <w:t>Foruten midler</w:t>
      </w:r>
      <w:r w:rsidR="00A95C1D" w:rsidRPr="0007313C">
        <w:rPr>
          <w:bCs/>
        </w:rPr>
        <w:t xml:space="preserve"> </w:t>
      </w:r>
      <w:r w:rsidR="000477BD" w:rsidRPr="0007313C">
        <w:rPr>
          <w:bCs/>
        </w:rPr>
        <w:t xml:space="preserve">fra </w:t>
      </w:r>
      <w:r w:rsidR="00586A31" w:rsidRPr="0007313C">
        <w:rPr>
          <w:bCs/>
        </w:rPr>
        <w:t>huseier</w:t>
      </w:r>
      <w:r w:rsidR="000477BD" w:rsidRPr="0007313C">
        <w:rPr>
          <w:bCs/>
        </w:rPr>
        <w:t xml:space="preserve"> </w:t>
      </w:r>
      <w:r w:rsidR="00586A31" w:rsidRPr="0007313C">
        <w:rPr>
          <w:bCs/>
        </w:rPr>
        <w:t>går</w:t>
      </w:r>
      <w:r w:rsidR="005641BF" w:rsidRPr="0007313C">
        <w:rPr>
          <w:bCs/>
        </w:rPr>
        <w:t xml:space="preserve"> høgskolene </w:t>
      </w:r>
      <w:r w:rsidR="00586A31" w:rsidRPr="0007313C">
        <w:rPr>
          <w:bCs/>
        </w:rPr>
        <w:t xml:space="preserve">ofte </w:t>
      </w:r>
      <w:r w:rsidR="005641BF" w:rsidRPr="0007313C">
        <w:rPr>
          <w:bCs/>
        </w:rPr>
        <w:t>inn med egne midler innenfor sine budsjettrammer.</w:t>
      </w:r>
    </w:p>
    <w:p w:rsidR="0086518E" w:rsidRPr="0007313C" w:rsidRDefault="0086518E" w:rsidP="00F74D37">
      <w:pPr>
        <w:pStyle w:val="Default"/>
        <w:rPr>
          <w:bCs/>
        </w:rPr>
      </w:pPr>
    </w:p>
    <w:p w:rsidR="00A85409" w:rsidRPr="0007313C" w:rsidRDefault="00173AFF" w:rsidP="00F74D37">
      <w:pPr>
        <w:pStyle w:val="Default"/>
        <w:rPr>
          <w:bCs/>
        </w:rPr>
      </w:pPr>
      <w:r w:rsidRPr="0007313C">
        <w:rPr>
          <w:bCs/>
        </w:rPr>
        <w:t xml:space="preserve">I Gjøvik skal det gjennomføres flere større og mindre tiltak etter planer utarbeidet av eierne av bygningene,- Statsbygg og Industribygg AS. </w:t>
      </w:r>
      <w:r w:rsidR="00C03D3A" w:rsidRPr="0007313C">
        <w:rPr>
          <w:bCs/>
        </w:rPr>
        <w:t>Noen av tiltakene er forutsatt finansiert gjennom økt husleie.</w:t>
      </w:r>
    </w:p>
    <w:p w:rsidR="0086518E" w:rsidRPr="0007313C" w:rsidRDefault="0086518E" w:rsidP="00F74D37">
      <w:pPr>
        <w:pStyle w:val="Default"/>
        <w:rPr>
          <w:bCs/>
        </w:rPr>
      </w:pPr>
    </w:p>
    <w:p w:rsidR="0086518E" w:rsidRPr="0007313C" w:rsidRDefault="0086518E" w:rsidP="00F74D37">
      <w:pPr>
        <w:pStyle w:val="Default"/>
        <w:rPr>
          <w:bCs/>
        </w:rPr>
      </w:pPr>
      <w:r w:rsidRPr="0007313C">
        <w:rPr>
          <w:bCs/>
        </w:rPr>
        <w:lastRenderedPageBreak/>
        <w:t xml:space="preserve">I Ålesund </w:t>
      </w:r>
      <w:r w:rsidR="00F3259C" w:rsidRPr="0007313C">
        <w:rPr>
          <w:bCs/>
        </w:rPr>
        <w:t>har Statsbygg</w:t>
      </w:r>
      <w:r w:rsidR="00A669B1" w:rsidRPr="0007313C">
        <w:rPr>
          <w:bCs/>
        </w:rPr>
        <w:t>,</w:t>
      </w:r>
      <w:r w:rsidR="00F3259C" w:rsidRPr="0007313C">
        <w:rPr>
          <w:bCs/>
        </w:rPr>
        <w:t xml:space="preserve"> </w:t>
      </w:r>
      <w:r w:rsidR="000F0F33" w:rsidRPr="0007313C">
        <w:rPr>
          <w:bCs/>
        </w:rPr>
        <w:t>som eier mesteparten av bygningene</w:t>
      </w:r>
      <w:r w:rsidR="00A669B1" w:rsidRPr="0007313C">
        <w:rPr>
          <w:bCs/>
        </w:rPr>
        <w:t>,</w:t>
      </w:r>
      <w:r w:rsidR="000F0F33" w:rsidRPr="0007313C">
        <w:rPr>
          <w:bCs/>
        </w:rPr>
        <w:t xml:space="preserve"> </w:t>
      </w:r>
      <w:r w:rsidR="00BC2A71" w:rsidRPr="0007313C">
        <w:rPr>
          <w:bCs/>
        </w:rPr>
        <w:t xml:space="preserve">egne </w:t>
      </w:r>
      <w:r w:rsidR="00F3259C" w:rsidRPr="0007313C">
        <w:rPr>
          <w:bCs/>
        </w:rPr>
        <w:t>plan</w:t>
      </w:r>
      <w:r w:rsidR="00C03D3A" w:rsidRPr="0007313C">
        <w:rPr>
          <w:bCs/>
        </w:rPr>
        <w:t>er</w:t>
      </w:r>
      <w:r w:rsidR="00F3259C" w:rsidRPr="0007313C">
        <w:rPr>
          <w:bCs/>
        </w:rPr>
        <w:t xml:space="preserve"> for løpende vedlikehold. I tillegg </w:t>
      </w:r>
      <w:r w:rsidR="00C03D3A" w:rsidRPr="0007313C">
        <w:rPr>
          <w:bCs/>
        </w:rPr>
        <w:t xml:space="preserve">har høgskolen </w:t>
      </w:r>
      <w:r w:rsidR="000F0F33" w:rsidRPr="0007313C">
        <w:rPr>
          <w:bCs/>
        </w:rPr>
        <w:t>flere</w:t>
      </w:r>
      <w:r w:rsidR="009F2055" w:rsidRPr="0007313C">
        <w:rPr>
          <w:bCs/>
        </w:rPr>
        <w:t xml:space="preserve"> ønsker om</w:t>
      </w:r>
      <w:r w:rsidR="000F0F33" w:rsidRPr="0007313C">
        <w:rPr>
          <w:bCs/>
        </w:rPr>
        <w:t xml:space="preserve"> </w:t>
      </w:r>
      <w:r w:rsidR="00F3259C" w:rsidRPr="0007313C">
        <w:rPr>
          <w:bCs/>
        </w:rPr>
        <w:t>arealeffektivisering</w:t>
      </w:r>
      <w:r w:rsidR="00C03D3A" w:rsidRPr="0007313C">
        <w:rPr>
          <w:bCs/>
        </w:rPr>
        <w:t xml:space="preserve"> og oppgraderinger</w:t>
      </w:r>
      <w:r w:rsidR="00F3259C" w:rsidRPr="0007313C">
        <w:rPr>
          <w:bCs/>
        </w:rPr>
        <w:t xml:space="preserve"> i Hovedbygget</w:t>
      </w:r>
      <w:r w:rsidR="00C03D3A" w:rsidRPr="0007313C">
        <w:rPr>
          <w:bCs/>
        </w:rPr>
        <w:t>. Kostnadene er anslått til 20 – 30 mill. kr. F</w:t>
      </w:r>
      <w:r w:rsidR="000F0F33" w:rsidRPr="0007313C">
        <w:rPr>
          <w:bCs/>
        </w:rPr>
        <w:t>inansiering</w:t>
      </w:r>
      <w:r w:rsidR="00C03D3A" w:rsidRPr="0007313C">
        <w:rPr>
          <w:bCs/>
        </w:rPr>
        <w:t xml:space="preserve"> er foreløpig uavklart, men vil for en stor del </w:t>
      </w:r>
      <w:r w:rsidR="005641BF" w:rsidRPr="0007313C">
        <w:rPr>
          <w:bCs/>
        </w:rPr>
        <w:t>være basert på</w:t>
      </w:r>
      <w:r w:rsidR="00C03D3A" w:rsidRPr="0007313C">
        <w:rPr>
          <w:bCs/>
        </w:rPr>
        <w:t xml:space="preserve"> økt husleie.</w:t>
      </w:r>
    </w:p>
    <w:p w:rsidR="0086518E" w:rsidRPr="0007313C" w:rsidRDefault="0086518E" w:rsidP="00F74D37">
      <w:pPr>
        <w:pStyle w:val="Default"/>
        <w:rPr>
          <w:bCs/>
        </w:rPr>
      </w:pPr>
    </w:p>
    <w:p w:rsidR="00341245" w:rsidRPr="0007313C" w:rsidRDefault="00341245" w:rsidP="00341245">
      <w:pPr>
        <w:pStyle w:val="Default"/>
        <w:rPr>
          <w:bCs/>
        </w:rPr>
      </w:pPr>
      <w:r w:rsidRPr="0007313C">
        <w:rPr>
          <w:bCs/>
        </w:rPr>
        <w:t xml:space="preserve">Ved </w:t>
      </w:r>
      <w:r w:rsidR="00736A50">
        <w:rPr>
          <w:bCs/>
        </w:rPr>
        <w:t xml:space="preserve">den tidligere </w:t>
      </w:r>
      <w:r w:rsidRPr="0007313C">
        <w:rPr>
          <w:bCs/>
        </w:rPr>
        <w:t xml:space="preserve">Høgskolen i </w:t>
      </w:r>
      <w:r w:rsidR="00736A50">
        <w:rPr>
          <w:bCs/>
        </w:rPr>
        <w:t>Sør-Trøndelag</w:t>
      </w:r>
      <w:r w:rsidRPr="0007313C">
        <w:rPr>
          <w:bCs/>
        </w:rPr>
        <w:t xml:space="preserve"> nærmer de seg f</w:t>
      </w:r>
      <w:r w:rsidR="00736A50">
        <w:rPr>
          <w:bCs/>
        </w:rPr>
        <w:t>ullføring</w:t>
      </w:r>
      <w:r w:rsidRPr="0007313C">
        <w:rPr>
          <w:bCs/>
        </w:rPr>
        <w:t xml:space="preserve"> av et større nybygg, </w:t>
      </w:r>
      <w:proofErr w:type="spellStart"/>
      <w:r w:rsidRPr="0007313C">
        <w:rPr>
          <w:bCs/>
        </w:rPr>
        <w:t>kfr</w:t>
      </w:r>
      <w:proofErr w:type="spellEnd"/>
      <w:r w:rsidRPr="0007313C">
        <w:rPr>
          <w:bCs/>
        </w:rPr>
        <w:t xml:space="preserve"> O-sak 30/15. Rehabiliteringen av </w:t>
      </w:r>
      <w:proofErr w:type="spellStart"/>
      <w:r w:rsidRPr="0007313C">
        <w:rPr>
          <w:bCs/>
        </w:rPr>
        <w:t>Gunnerusgt</w:t>
      </w:r>
      <w:proofErr w:type="spellEnd"/>
      <w:r w:rsidRPr="0007313C">
        <w:rPr>
          <w:bCs/>
        </w:rPr>
        <w:t xml:space="preserve"> 1 (ca. 4000 kvm) vil også bli ferdigstilt i 2016. Prosjektet gjennomføres av Statsbygg. For øvrig skal det utføres løpende vedlikehold og oppgraderinger etter planer utarbeidet av de respektive eierne av bygningene ved HIST.</w:t>
      </w:r>
      <w:r w:rsidR="00DE2B62">
        <w:rPr>
          <w:bCs/>
        </w:rPr>
        <w:br/>
      </w:r>
    </w:p>
    <w:p w:rsidR="00AA79F6" w:rsidRPr="0007313C" w:rsidRDefault="00AA79F6" w:rsidP="00F74D37">
      <w:pPr>
        <w:pStyle w:val="Default"/>
        <w:rPr>
          <w:bCs/>
        </w:rPr>
      </w:pPr>
    </w:p>
    <w:p w:rsidR="00DE43AD" w:rsidRPr="0007313C" w:rsidRDefault="00DE43AD" w:rsidP="00DE43AD">
      <w:pPr>
        <w:pStyle w:val="Default"/>
        <w:rPr>
          <w:b/>
          <w:bCs/>
          <w:sz w:val="23"/>
          <w:szCs w:val="23"/>
          <w:u w:val="single"/>
        </w:rPr>
      </w:pPr>
      <w:r w:rsidRPr="0007313C">
        <w:rPr>
          <w:b/>
          <w:bCs/>
          <w:sz w:val="23"/>
          <w:szCs w:val="23"/>
          <w:u w:val="single"/>
        </w:rPr>
        <w:t>Planer for vedlikehold og utvikling i bygg eid av NTNU.</w:t>
      </w:r>
    </w:p>
    <w:p w:rsidR="00DE43AD" w:rsidRPr="0007313C" w:rsidRDefault="00DE43AD" w:rsidP="00F74D37">
      <w:pPr>
        <w:pStyle w:val="Default"/>
        <w:rPr>
          <w:b/>
          <w:bCs/>
          <w:sz w:val="23"/>
          <w:szCs w:val="23"/>
        </w:rPr>
      </w:pPr>
    </w:p>
    <w:p w:rsidR="00CC4A65" w:rsidRPr="0007313C" w:rsidRDefault="00CC4A65" w:rsidP="00CC4A65">
      <w:pPr>
        <w:pStyle w:val="Default"/>
        <w:rPr>
          <w:bCs/>
          <w:sz w:val="23"/>
          <w:szCs w:val="23"/>
        </w:rPr>
      </w:pPr>
      <w:r w:rsidRPr="00DE2B62">
        <w:rPr>
          <w:bCs/>
          <w:sz w:val="23"/>
          <w:szCs w:val="23"/>
        </w:rPr>
        <w:t>NTNU</w:t>
      </w:r>
      <w:r w:rsidRPr="0007313C">
        <w:rPr>
          <w:bCs/>
          <w:sz w:val="23"/>
          <w:szCs w:val="23"/>
        </w:rPr>
        <w:t xml:space="preserve"> har en langtidsplan for sitt arbeid med vedlikehold og utvikling av selveide bygninger. Denne tar utgangspunkt i behov for tiltak avdekket i foreliggende tilstandsregistreringer, er koordinert med planene for campusprosjekt</w:t>
      </w:r>
      <w:r w:rsidR="004D1E87">
        <w:rPr>
          <w:bCs/>
          <w:sz w:val="23"/>
          <w:szCs w:val="23"/>
        </w:rPr>
        <w:t>ene</w:t>
      </w:r>
      <w:r w:rsidRPr="0007313C">
        <w:rPr>
          <w:bCs/>
          <w:sz w:val="23"/>
          <w:szCs w:val="23"/>
        </w:rPr>
        <w:t xml:space="preserve">, </w:t>
      </w:r>
      <w:proofErr w:type="spellStart"/>
      <w:r w:rsidRPr="0007313C">
        <w:rPr>
          <w:bCs/>
          <w:sz w:val="23"/>
          <w:szCs w:val="23"/>
        </w:rPr>
        <w:t>kfr</w:t>
      </w:r>
      <w:proofErr w:type="spellEnd"/>
      <w:r w:rsidRPr="0007313C">
        <w:rPr>
          <w:bCs/>
          <w:sz w:val="23"/>
          <w:szCs w:val="23"/>
        </w:rPr>
        <w:t xml:space="preserve"> O-sak 30/15 og rulleres årlig. Følgende kriterier</w:t>
      </w:r>
      <w:r w:rsidR="003F06EE">
        <w:rPr>
          <w:bCs/>
          <w:sz w:val="23"/>
          <w:szCs w:val="23"/>
        </w:rPr>
        <w:t xml:space="preserve"> vurderes ved utarbeidelse av planen</w:t>
      </w:r>
      <w:r w:rsidRPr="0007313C">
        <w:rPr>
          <w:bCs/>
          <w:sz w:val="23"/>
          <w:szCs w:val="23"/>
        </w:rPr>
        <w:t xml:space="preserve">: offentlige pålegg, HMS-avvik, tilstandsgrad, ENØK og faglige behov. Når en går inn med et tungt vedlikehold og teknisk oppgradering i et bygg er det ofte naturlig å gjøre noe funksjonell oppgradering for utviklingen av den faglige virksomheten </w:t>
      </w:r>
      <w:r w:rsidR="004D1E87">
        <w:rPr>
          <w:bCs/>
          <w:sz w:val="23"/>
          <w:szCs w:val="23"/>
        </w:rPr>
        <w:t xml:space="preserve">i bygget. Dette vurderes i forhold til </w:t>
      </w:r>
      <w:r w:rsidRPr="0007313C">
        <w:rPr>
          <w:bCs/>
          <w:sz w:val="23"/>
          <w:szCs w:val="23"/>
        </w:rPr>
        <w:t xml:space="preserve">kostnadene. I fredede bygg vil for eksempel kostnadene ofte bli så store at det vanskelig lar seg gjennomføre.    </w:t>
      </w:r>
    </w:p>
    <w:p w:rsidR="00094457" w:rsidRPr="0007313C" w:rsidRDefault="00094457" w:rsidP="00F74D37">
      <w:pPr>
        <w:pStyle w:val="Default"/>
        <w:rPr>
          <w:bCs/>
          <w:sz w:val="23"/>
          <w:szCs w:val="23"/>
        </w:rPr>
      </w:pPr>
    </w:p>
    <w:p w:rsidR="00094457" w:rsidRPr="0007313C" w:rsidRDefault="00FA1F91" w:rsidP="00F74D37">
      <w:pPr>
        <w:pStyle w:val="Default"/>
        <w:rPr>
          <w:bCs/>
          <w:sz w:val="23"/>
          <w:szCs w:val="23"/>
        </w:rPr>
      </w:pPr>
      <w:r>
        <w:rPr>
          <w:bCs/>
          <w:sz w:val="23"/>
          <w:szCs w:val="23"/>
        </w:rPr>
        <w:t xml:space="preserve">Ved utarbeidelse av langtidsplaner for vedlikehold og utvikling er det </w:t>
      </w:r>
      <w:r w:rsidR="00E55170">
        <w:rPr>
          <w:bCs/>
          <w:sz w:val="23"/>
          <w:szCs w:val="23"/>
        </w:rPr>
        <w:t xml:space="preserve">generelt </w:t>
      </w:r>
      <w:r>
        <w:rPr>
          <w:bCs/>
          <w:sz w:val="23"/>
          <w:szCs w:val="23"/>
        </w:rPr>
        <w:t xml:space="preserve">en stor fordel å ha muligheten til å se budsjettrammene samlet over flere år. Dette </w:t>
      </w:r>
      <w:r w:rsidR="00E55170">
        <w:rPr>
          <w:bCs/>
          <w:sz w:val="23"/>
          <w:szCs w:val="23"/>
        </w:rPr>
        <w:t xml:space="preserve">både for </w:t>
      </w:r>
      <w:r>
        <w:rPr>
          <w:bCs/>
          <w:sz w:val="23"/>
          <w:szCs w:val="23"/>
        </w:rPr>
        <w:t>å ha en</w:t>
      </w:r>
      <w:r w:rsidR="00E55170">
        <w:rPr>
          <w:bCs/>
          <w:sz w:val="23"/>
          <w:szCs w:val="23"/>
        </w:rPr>
        <w:t xml:space="preserve"> hensiktsmessig fremdrift av enkeltprosjekt og for å tilpasse seg andre ytre krav og forhold. Foreliggende plan</w:t>
      </w:r>
      <w:r w:rsidR="00FC1FD0" w:rsidRPr="0007313C">
        <w:rPr>
          <w:bCs/>
          <w:sz w:val="23"/>
          <w:szCs w:val="23"/>
        </w:rPr>
        <w:t xml:space="preserve"> viser stor aktivitet de to første årene og tilsvarende mindre aktivitet de to siste årene i fireårsperioden. D</w:t>
      </w:r>
      <w:r w:rsidR="0048274D" w:rsidRPr="0007313C">
        <w:rPr>
          <w:bCs/>
          <w:sz w:val="23"/>
          <w:szCs w:val="23"/>
        </w:rPr>
        <w:t>ette skyldes</w:t>
      </w:r>
      <w:r w:rsidR="00CD381C" w:rsidRPr="0007313C">
        <w:rPr>
          <w:bCs/>
          <w:sz w:val="23"/>
          <w:szCs w:val="23"/>
        </w:rPr>
        <w:t xml:space="preserve"> </w:t>
      </w:r>
      <w:r w:rsidR="00FC1FD0" w:rsidRPr="0007313C">
        <w:rPr>
          <w:bCs/>
          <w:sz w:val="23"/>
          <w:szCs w:val="23"/>
        </w:rPr>
        <w:t>at rehabiliteringen</w:t>
      </w:r>
      <w:r w:rsidR="000D72D1" w:rsidRPr="0007313C">
        <w:rPr>
          <w:bCs/>
          <w:sz w:val="23"/>
          <w:szCs w:val="23"/>
        </w:rPr>
        <w:t xml:space="preserve">e </w:t>
      </w:r>
      <w:r w:rsidR="002B7A04" w:rsidRPr="0007313C">
        <w:rPr>
          <w:bCs/>
          <w:sz w:val="23"/>
          <w:szCs w:val="23"/>
        </w:rPr>
        <w:t>av</w:t>
      </w:r>
      <w:r w:rsidR="000D72D1" w:rsidRPr="0007313C">
        <w:rPr>
          <w:bCs/>
          <w:sz w:val="23"/>
          <w:szCs w:val="23"/>
        </w:rPr>
        <w:t xml:space="preserve"> Kjemibygg 3 og</w:t>
      </w:r>
      <w:r w:rsidR="00FC1FD0" w:rsidRPr="0007313C">
        <w:rPr>
          <w:bCs/>
          <w:sz w:val="23"/>
          <w:szCs w:val="23"/>
        </w:rPr>
        <w:t xml:space="preserve"> Varmeteknisk laboratorium (ECC</w:t>
      </w:r>
      <w:r w:rsidR="002A6514" w:rsidRPr="0007313C">
        <w:rPr>
          <w:bCs/>
          <w:sz w:val="23"/>
          <w:szCs w:val="23"/>
        </w:rPr>
        <w:t>SEL</w:t>
      </w:r>
      <w:r w:rsidR="00FC1FD0" w:rsidRPr="0007313C">
        <w:rPr>
          <w:bCs/>
          <w:sz w:val="23"/>
          <w:szCs w:val="23"/>
        </w:rPr>
        <w:t xml:space="preserve">) </w:t>
      </w:r>
      <w:r w:rsidR="00CC4A65" w:rsidRPr="0007313C">
        <w:rPr>
          <w:bCs/>
          <w:sz w:val="23"/>
          <w:szCs w:val="23"/>
        </w:rPr>
        <w:t>er</w:t>
      </w:r>
      <w:r w:rsidR="000D72D1" w:rsidRPr="0007313C">
        <w:rPr>
          <w:bCs/>
          <w:sz w:val="23"/>
          <w:szCs w:val="23"/>
        </w:rPr>
        <w:t xml:space="preserve"> forsinket</w:t>
      </w:r>
      <w:r w:rsidR="00CC4A65" w:rsidRPr="0007313C">
        <w:rPr>
          <w:bCs/>
          <w:sz w:val="23"/>
          <w:szCs w:val="23"/>
        </w:rPr>
        <w:t xml:space="preserve"> og</w:t>
      </w:r>
      <w:r w:rsidR="000D72D1" w:rsidRPr="0007313C">
        <w:rPr>
          <w:bCs/>
          <w:sz w:val="23"/>
          <w:szCs w:val="23"/>
        </w:rPr>
        <w:t xml:space="preserve"> </w:t>
      </w:r>
      <w:r w:rsidR="00FC1FD0" w:rsidRPr="0007313C">
        <w:rPr>
          <w:bCs/>
          <w:sz w:val="23"/>
          <w:szCs w:val="23"/>
        </w:rPr>
        <w:t xml:space="preserve">kommer tungt inn i </w:t>
      </w:r>
      <w:r w:rsidR="001932C2" w:rsidRPr="0007313C">
        <w:rPr>
          <w:bCs/>
          <w:sz w:val="23"/>
          <w:szCs w:val="23"/>
        </w:rPr>
        <w:t xml:space="preserve">årene </w:t>
      </w:r>
      <w:r w:rsidR="00FC1FD0" w:rsidRPr="0007313C">
        <w:rPr>
          <w:bCs/>
          <w:sz w:val="23"/>
          <w:szCs w:val="23"/>
        </w:rPr>
        <w:t>2016 -17</w:t>
      </w:r>
      <w:r w:rsidR="001932C2" w:rsidRPr="0007313C">
        <w:rPr>
          <w:bCs/>
          <w:sz w:val="23"/>
          <w:szCs w:val="23"/>
        </w:rPr>
        <w:t xml:space="preserve"> </w:t>
      </w:r>
      <w:r w:rsidR="00CC4A65" w:rsidRPr="0007313C">
        <w:rPr>
          <w:bCs/>
          <w:sz w:val="23"/>
          <w:szCs w:val="23"/>
        </w:rPr>
        <w:t xml:space="preserve">samtidig som flere store vedlikeholdstiltak, i arbeidet med å redusere vedlikeholdsetterslepet, er klare for gjennomføring. Det haster med å ferdigstille rehabiliteringen av </w:t>
      </w:r>
      <w:proofErr w:type="spellStart"/>
      <w:r w:rsidR="00CC4A65" w:rsidRPr="0007313C">
        <w:rPr>
          <w:bCs/>
          <w:sz w:val="23"/>
          <w:szCs w:val="23"/>
        </w:rPr>
        <w:t>Thingvallagården</w:t>
      </w:r>
      <w:proofErr w:type="spellEnd"/>
      <w:r w:rsidR="00CC4A65" w:rsidRPr="0007313C">
        <w:rPr>
          <w:bCs/>
          <w:sz w:val="23"/>
          <w:szCs w:val="23"/>
        </w:rPr>
        <w:t xml:space="preserve">, nybygg ved St. Olav for MR-skanner og nybygg for ZEB-laboratoriet, slik at disse investeringene også er prioritert inn i første halvdel av fireårsperioden. </w:t>
      </w:r>
      <w:r w:rsidR="00CD381C" w:rsidRPr="0007313C">
        <w:rPr>
          <w:bCs/>
          <w:sz w:val="23"/>
          <w:szCs w:val="23"/>
        </w:rPr>
        <w:t>D</w:t>
      </w:r>
      <w:r w:rsidR="002F0716" w:rsidRPr="0007313C">
        <w:rPr>
          <w:bCs/>
          <w:sz w:val="23"/>
          <w:szCs w:val="23"/>
        </w:rPr>
        <w:t xml:space="preserve">e </w:t>
      </w:r>
      <w:r w:rsidR="00CD381C" w:rsidRPr="0007313C">
        <w:rPr>
          <w:bCs/>
          <w:sz w:val="23"/>
          <w:szCs w:val="23"/>
        </w:rPr>
        <w:t xml:space="preserve">relativt </w:t>
      </w:r>
      <w:r w:rsidR="00C7704B" w:rsidRPr="0007313C">
        <w:rPr>
          <w:bCs/>
          <w:sz w:val="23"/>
          <w:szCs w:val="23"/>
        </w:rPr>
        <w:t>lave budsjett</w:t>
      </w:r>
      <w:r w:rsidR="00622F84" w:rsidRPr="0007313C">
        <w:rPr>
          <w:bCs/>
          <w:sz w:val="23"/>
          <w:szCs w:val="23"/>
        </w:rPr>
        <w:t>rammene for</w:t>
      </w:r>
      <w:r w:rsidR="0048274D" w:rsidRPr="0007313C">
        <w:rPr>
          <w:bCs/>
          <w:sz w:val="23"/>
          <w:szCs w:val="23"/>
        </w:rPr>
        <w:t xml:space="preserve"> de to siste årene </w:t>
      </w:r>
      <w:r w:rsidR="00CD381C" w:rsidRPr="0007313C">
        <w:rPr>
          <w:bCs/>
          <w:sz w:val="23"/>
          <w:szCs w:val="23"/>
        </w:rPr>
        <w:t>vil stort sett gå med til å handtere ordinært vedlike</w:t>
      </w:r>
      <w:r w:rsidR="00622F84" w:rsidRPr="0007313C">
        <w:rPr>
          <w:bCs/>
          <w:sz w:val="23"/>
          <w:szCs w:val="23"/>
        </w:rPr>
        <w:t xml:space="preserve">hold. Erfaring tilsier at nye </w:t>
      </w:r>
      <w:r w:rsidR="0048274D" w:rsidRPr="0007313C">
        <w:rPr>
          <w:bCs/>
          <w:sz w:val="23"/>
          <w:szCs w:val="23"/>
        </w:rPr>
        <w:t>vedlikeholds</w:t>
      </w:r>
      <w:r w:rsidR="00622F84" w:rsidRPr="0007313C">
        <w:rPr>
          <w:bCs/>
          <w:sz w:val="23"/>
          <w:szCs w:val="23"/>
        </w:rPr>
        <w:t xml:space="preserve">behov </w:t>
      </w:r>
      <w:r w:rsidR="00252207" w:rsidRPr="0007313C">
        <w:rPr>
          <w:bCs/>
          <w:sz w:val="23"/>
          <w:szCs w:val="23"/>
        </w:rPr>
        <w:t xml:space="preserve">vil </w:t>
      </w:r>
      <w:r w:rsidR="00622F84" w:rsidRPr="0007313C">
        <w:rPr>
          <w:bCs/>
          <w:sz w:val="23"/>
          <w:szCs w:val="23"/>
        </w:rPr>
        <w:t xml:space="preserve">komme til, og det kan </w:t>
      </w:r>
      <w:r w:rsidR="00252207" w:rsidRPr="0007313C">
        <w:rPr>
          <w:bCs/>
          <w:sz w:val="23"/>
          <w:szCs w:val="23"/>
        </w:rPr>
        <w:t>ikke påregnes nevneverdig</w:t>
      </w:r>
      <w:r w:rsidR="00EE4DF5" w:rsidRPr="0007313C">
        <w:rPr>
          <w:bCs/>
          <w:sz w:val="23"/>
          <w:szCs w:val="23"/>
        </w:rPr>
        <w:t xml:space="preserve"> reduksjon av </w:t>
      </w:r>
      <w:r w:rsidR="00622F84" w:rsidRPr="0007313C">
        <w:rPr>
          <w:bCs/>
          <w:sz w:val="23"/>
          <w:szCs w:val="23"/>
        </w:rPr>
        <w:t>vedlikeholds</w:t>
      </w:r>
      <w:r w:rsidR="00EE4DF5" w:rsidRPr="0007313C">
        <w:rPr>
          <w:bCs/>
          <w:sz w:val="23"/>
          <w:szCs w:val="23"/>
        </w:rPr>
        <w:t>etterslepet</w:t>
      </w:r>
      <w:r w:rsidR="00622F84" w:rsidRPr="0007313C">
        <w:rPr>
          <w:bCs/>
          <w:sz w:val="23"/>
          <w:szCs w:val="23"/>
        </w:rPr>
        <w:t xml:space="preserve"> i siste </w:t>
      </w:r>
      <w:r w:rsidR="0048274D" w:rsidRPr="0007313C">
        <w:rPr>
          <w:bCs/>
          <w:sz w:val="23"/>
          <w:szCs w:val="23"/>
        </w:rPr>
        <w:t>halv</w:t>
      </w:r>
      <w:r w:rsidR="00622F84" w:rsidRPr="0007313C">
        <w:rPr>
          <w:bCs/>
          <w:sz w:val="23"/>
          <w:szCs w:val="23"/>
        </w:rPr>
        <w:t xml:space="preserve">del av </w:t>
      </w:r>
      <w:r w:rsidR="0048274D" w:rsidRPr="0007313C">
        <w:rPr>
          <w:bCs/>
          <w:sz w:val="23"/>
          <w:szCs w:val="23"/>
        </w:rPr>
        <w:t>fireårs</w:t>
      </w:r>
      <w:r w:rsidR="00622F84" w:rsidRPr="0007313C">
        <w:rPr>
          <w:bCs/>
          <w:sz w:val="23"/>
          <w:szCs w:val="23"/>
        </w:rPr>
        <w:t>perioden.</w:t>
      </w:r>
    </w:p>
    <w:p w:rsidR="000D72D1" w:rsidRPr="0007313C" w:rsidRDefault="000D72D1" w:rsidP="00F74D37">
      <w:pPr>
        <w:pStyle w:val="Default"/>
        <w:rPr>
          <w:bCs/>
          <w:sz w:val="23"/>
          <w:szCs w:val="23"/>
        </w:rPr>
      </w:pPr>
    </w:p>
    <w:p w:rsidR="00CC4A65" w:rsidRPr="0007313C" w:rsidRDefault="00CC4A65" w:rsidP="00CC4A65">
      <w:pPr>
        <w:pStyle w:val="Default"/>
        <w:rPr>
          <w:bCs/>
          <w:sz w:val="23"/>
          <w:szCs w:val="23"/>
        </w:rPr>
      </w:pPr>
      <w:r w:rsidRPr="0007313C">
        <w:rPr>
          <w:bCs/>
          <w:sz w:val="23"/>
          <w:szCs w:val="23"/>
        </w:rPr>
        <w:t xml:space="preserve">Foruten de større tiltakene som er nevnt ovenfor omfatter vedlikeholdsplanen flere oppgaver og tema som det settes av årlige midler til. Noen kommer som følge av offentlige krav og pålegg, mens andre tema er med som følge av NTNUs egne prioriteringer. Det er ikke rom for å spesifisere alle enkelttiltakene her, men det arbeides kontinuerlig med å registrere, utrede, utarbeide og rullere handlingsplaner og gjennomføre tiltak innenfor </w:t>
      </w:r>
      <w:r w:rsidR="004D1E87">
        <w:rPr>
          <w:bCs/>
          <w:sz w:val="23"/>
          <w:szCs w:val="23"/>
        </w:rPr>
        <w:t>følgende</w:t>
      </w:r>
      <w:r w:rsidRPr="0007313C">
        <w:rPr>
          <w:bCs/>
          <w:sz w:val="23"/>
          <w:szCs w:val="23"/>
        </w:rPr>
        <w:t xml:space="preserve"> tema:</w:t>
      </w:r>
    </w:p>
    <w:p w:rsidR="00CC4A65" w:rsidRPr="0007313C" w:rsidRDefault="00CC4A65" w:rsidP="00CC4A65">
      <w:pPr>
        <w:pStyle w:val="Default"/>
        <w:rPr>
          <w:bCs/>
          <w:sz w:val="23"/>
          <w:szCs w:val="23"/>
        </w:rPr>
      </w:pPr>
    </w:p>
    <w:p w:rsidR="00CC4A65" w:rsidRPr="0007313C" w:rsidRDefault="00CC4A65" w:rsidP="00CC4A65">
      <w:pPr>
        <w:pStyle w:val="Default"/>
        <w:rPr>
          <w:bCs/>
          <w:sz w:val="23"/>
          <w:szCs w:val="23"/>
        </w:rPr>
      </w:pPr>
      <w:r w:rsidRPr="0007313C">
        <w:rPr>
          <w:bCs/>
          <w:sz w:val="23"/>
          <w:szCs w:val="23"/>
        </w:rPr>
        <w:t xml:space="preserve">Helse miljø og sikkerhet (HMS) har høy prioritet. I plan for vedlikehold og utvikling settes det av årlige rammer til bla å lukke branntekniske pålegg, bedre inneklima, oppfylle normer for universell utforming (UU) samt å vedlikeholde og utvikle undervisnings- og fellesareal. </w:t>
      </w:r>
      <w:r w:rsidRPr="0007313C">
        <w:rPr>
          <w:bCs/>
          <w:sz w:val="23"/>
          <w:szCs w:val="23"/>
        </w:rPr>
        <w:lastRenderedPageBreak/>
        <w:t xml:space="preserve">Utvikling av nye og mer fremtidsrettede læringsareal skjer i tråd med NTNUs visjoner for campusutvikling med blant annet spennende piloter på </w:t>
      </w:r>
      <w:proofErr w:type="spellStart"/>
      <w:r w:rsidRPr="0007313C">
        <w:rPr>
          <w:bCs/>
          <w:sz w:val="23"/>
          <w:szCs w:val="23"/>
        </w:rPr>
        <w:t>Dragvoll</w:t>
      </w:r>
      <w:proofErr w:type="spellEnd"/>
      <w:r w:rsidRPr="0007313C">
        <w:rPr>
          <w:bCs/>
          <w:sz w:val="23"/>
          <w:szCs w:val="23"/>
        </w:rPr>
        <w:t xml:space="preserve"> og Gløshaugen. </w:t>
      </w:r>
    </w:p>
    <w:p w:rsidR="008E70DE" w:rsidRPr="0007313C" w:rsidRDefault="008E70DE" w:rsidP="00F74D37">
      <w:pPr>
        <w:pStyle w:val="Default"/>
        <w:rPr>
          <w:bCs/>
          <w:sz w:val="23"/>
          <w:szCs w:val="23"/>
        </w:rPr>
      </w:pPr>
    </w:p>
    <w:p w:rsidR="00575C26" w:rsidRPr="0007313C" w:rsidRDefault="008E70DE" w:rsidP="00575C26">
      <w:pPr>
        <w:pStyle w:val="Default"/>
        <w:rPr>
          <w:bCs/>
          <w:sz w:val="23"/>
          <w:szCs w:val="23"/>
        </w:rPr>
      </w:pPr>
      <w:r w:rsidRPr="0007313C">
        <w:rPr>
          <w:bCs/>
          <w:sz w:val="23"/>
          <w:szCs w:val="23"/>
        </w:rPr>
        <w:t xml:space="preserve">NTNU er opptatt av å </w:t>
      </w:r>
      <w:r w:rsidR="0048274D" w:rsidRPr="0007313C">
        <w:rPr>
          <w:bCs/>
          <w:sz w:val="23"/>
          <w:szCs w:val="23"/>
        </w:rPr>
        <w:t>redusere energiforbruket og setter</w:t>
      </w:r>
      <w:r w:rsidRPr="0007313C">
        <w:rPr>
          <w:bCs/>
          <w:sz w:val="23"/>
          <w:szCs w:val="23"/>
        </w:rPr>
        <w:t xml:space="preserve"> </w:t>
      </w:r>
      <w:r w:rsidR="000963DC" w:rsidRPr="0007313C">
        <w:rPr>
          <w:bCs/>
          <w:sz w:val="23"/>
          <w:szCs w:val="23"/>
        </w:rPr>
        <w:t>av en årlig ramme for energiøkonomiske tiltak</w:t>
      </w:r>
      <w:r w:rsidR="0048274D" w:rsidRPr="0007313C">
        <w:rPr>
          <w:bCs/>
          <w:sz w:val="23"/>
          <w:szCs w:val="23"/>
        </w:rPr>
        <w:t xml:space="preserve"> (ENØK)</w:t>
      </w:r>
      <w:r w:rsidR="0016786C" w:rsidRPr="0007313C">
        <w:rPr>
          <w:bCs/>
          <w:sz w:val="23"/>
          <w:szCs w:val="23"/>
        </w:rPr>
        <w:t xml:space="preserve"> i bygninger og tekniske anlegg</w:t>
      </w:r>
      <w:r w:rsidR="0048274D" w:rsidRPr="0007313C">
        <w:rPr>
          <w:bCs/>
          <w:sz w:val="23"/>
          <w:szCs w:val="23"/>
        </w:rPr>
        <w:t>.</w:t>
      </w:r>
      <w:r w:rsidR="00575C26" w:rsidRPr="0007313C">
        <w:rPr>
          <w:bCs/>
          <w:sz w:val="23"/>
          <w:szCs w:val="23"/>
        </w:rPr>
        <w:t xml:space="preserve"> Tiltak prioriteres hovedsakelig i forhold til lønnsomhet.</w:t>
      </w:r>
    </w:p>
    <w:p w:rsidR="00252207" w:rsidRPr="0007313C" w:rsidRDefault="00252207" w:rsidP="00F74D37">
      <w:pPr>
        <w:pStyle w:val="Default"/>
        <w:rPr>
          <w:bCs/>
          <w:sz w:val="23"/>
          <w:szCs w:val="23"/>
        </w:rPr>
      </w:pPr>
    </w:p>
    <w:p w:rsidR="00ED3336" w:rsidRPr="0007313C" w:rsidRDefault="004D1E87" w:rsidP="00ED3336">
      <w:pPr>
        <w:rPr>
          <w:rFonts w:eastAsiaTheme="minorHAnsi"/>
          <w:sz w:val="22"/>
          <w:szCs w:val="21"/>
          <w:lang w:val="nb-NO"/>
        </w:rPr>
      </w:pPr>
      <w:r>
        <w:rPr>
          <w:rFonts w:eastAsiaTheme="minorHAnsi"/>
          <w:bCs/>
          <w:sz w:val="23"/>
          <w:szCs w:val="23"/>
          <w:lang w:val="nb-NO"/>
        </w:rPr>
        <w:t>NTNUs s</w:t>
      </w:r>
      <w:r w:rsidR="00ED3336" w:rsidRPr="0007313C">
        <w:rPr>
          <w:rFonts w:eastAsiaTheme="minorHAnsi"/>
          <w:bCs/>
          <w:sz w:val="23"/>
          <w:szCs w:val="23"/>
          <w:lang w:val="nb-NO"/>
        </w:rPr>
        <w:t xml:space="preserve">eksjon for håndverktjenester og </w:t>
      </w:r>
      <w:proofErr w:type="spellStart"/>
      <w:r w:rsidR="00ED3336" w:rsidRPr="0007313C">
        <w:rPr>
          <w:rFonts w:eastAsiaTheme="minorHAnsi"/>
          <w:bCs/>
          <w:sz w:val="23"/>
          <w:szCs w:val="23"/>
          <w:lang w:val="nb-NO"/>
        </w:rPr>
        <w:t>byggsikring</w:t>
      </w:r>
      <w:proofErr w:type="spellEnd"/>
      <w:r w:rsidR="00ED3336" w:rsidRPr="0007313C">
        <w:rPr>
          <w:rFonts w:eastAsiaTheme="minorHAnsi"/>
          <w:bCs/>
          <w:sz w:val="23"/>
          <w:szCs w:val="23"/>
          <w:lang w:val="nb-NO"/>
        </w:rPr>
        <w:t xml:space="preserve"> deltar i arbeidet med vedlikeholdet av bygningsmassen og har </w:t>
      </w:r>
      <w:r>
        <w:rPr>
          <w:rFonts w:eastAsiaTheme="minorHAnsi"/>
          <w:bCs/>
          <w:sz w:val="23"/>
          <w:szCs w:val="23"/>
          <w:lang w:val="nb-NO"/>
        </w:rPr>
        <w:t>planer for</w:t>
      </w:r>
      <w:r w:rsidR="00ED3336" w:rsidRPr="0007313C">
        <w:rPr>
          <w:rFonts w:eastAsiaTheme="minorHAnsi"/>
          <w:bCs/>
          <w:sz w:val="23"/>
          <w:szCs w:val="23"/>
          <w:lang w:val="nb-NO"/>
        </w:rPr>
        <w:t xml:space="preserve"> årlig egenproduksjon både innenfor bygningsfagene og de tekniske fagene (pkt. 5 i tabell under). Seksjonens vedlikeholdsplan er fundert på tilstandsanalysen som ble foretatt ved NTNU i 2010 – 2011. Det prioriteres vedlikehold på tak</w:t>
      </w:r>
      <w:r w:rsidR="00ED3336" w:rsidRPr="0007313C">
        <w:rPr>
          <w:rFonts w:eastAsiaTheme="minorHAnsi"/>
          <w:sz w:val="22"/>
          <w:szCs w:val="21"/>
          <w:lang w:val="nb-NO"/>
        </w:rPr>
        <w:t xml:space="preserve"> og store fellesinstallasjoner. I tillegg prioriteres tiltak i henhold til Driftsavdelingens virksomhetsplan og </w:t>
      </w:r>
      <w:r>
        <w:rPr>
          <w:rFonts w:eastAsiaTheme="minorHAnsi"/>
          <w:sz w:val="22"/>
          <w:szCs w:val="21"/>
          <w:lang w:val="nb-NO"/>
        </w:rPr>
        <w:t>da med prioritering av tiltak knyttet til HMS</w:t>
      </w:r>
      <w:r w:rsidR="00ED3336" w:rsidRPr="0007313C">
        <w:rPr>
          <w:rFonts w:eastAsiaTheme="minorHAnsi"/>
          <w:sz w:val="22"/>
          <w:szCs w:val="21"/>
          <w:lang w:val="nb-NO"/>
        </w:rPr>
        <w:t>.</w:t>
      </w:r>
    </w:p>
    <w:p w:rsidR="0016786C" w:rsidRPr="0007313C" w:rsidRDefault="0016786C" w:rsidP="00F74D37">
      <w:pPr>
        <w:pStyle w:val="Default"/>
        <w:rPr>
          <w:bCs/>
          <w:sz w:val="23"/>
          <w:szCs w:val="23"/>
        </w:rPr>
      </w:pPr>
    </w:p>
    <w:p w:rsidR="0016786C" w:rsidRPr="0007313C" w:rsidRDefault="0016786C" w:rsidP="00F74D37">
      <w:pPr>
        <w:pStyle w:val="Default"/>
        <w:rPr>
          <w:bCs/>
          <w:sz w:val="23"/>
          <w:szCs w:val="23"/>
        </w:rPr>
      </w:pPr>
      <w:r w:rsidRPr="0007313C">
        <w:rPr>
          <w:bCs/>
          <w:sz w:val="23"/>
          <w:szCs w:val="23"/>
        </w:rPr>
        <w:t>Det arbeides også med planer for å vedlikeholde og utvikle NTNUs uteområdene på en estetisk og miljømessig god måte.</w:t>
      </w:r>
    </w:p>
    <w:p w:rsidR="00575C26" w:rsidRPr="0007313C" w:rsidRDefault="0055469C" w:rsidP="00575C26">
      <w:pPr>
        <w:pStyle w:val="Default"/>
        <w:rPr>
          <w:bCs/>
          <w:sz w:val="23"/>
          <w:szCs w:val="23"/>
        </w:rPr>
      </w:pPr>
      <w:r w:rsidRPr="0007313C">
        <w:rPr>
          <w:bCs/>
          <w:sz w:val="23"/>
          <w:szCs w:val="23"/>
        </w:rPr>
        <w:br/>
      </w:r>
      <w:r w:rsidR="00A16B1A" w:rsidRPr="0007313C">
        <w:rPr>
          <w:bCs/>
          <w:sz w:val="23"/>
          <w:szCs w:val="23"/>
        </w:rPr>
        <w:t xml:space="preserve">Tabellen nedenfor gir en oversikt over hvilke tiltak som ligger inne i plan for vedlikehold </w:t>
      </w:r>
      <w:r w:rsidR="00CF65D4" w:rsidRPr="0007313C">
        <w:rPr>
          <w:bCs/>
          <w:sz w:val="23"/>
          <w:szCs w:val="23"/>
        </w:rPr>
        <w:t xml:space="preserve">og utvikling </w:t>
      </w:r>
      <w:r w:rsidR="003805C3" w:rsidRPr="0007313C">
        <w:rPr>
          <w:bCs/>
          <w:sz w:val="23"/>
          <w:szCs w:val="23"/>
        </w:rPr>
        <w:t xml:space="preserve">i perioden </w:t>
      </w:r>
      <w:r w:rsidR="00A16B1A" w:rsidRPr="0007313C">
        <w:rPr>
          <w:bCs/>
          <w:sz w:val="23"/>
          <w:szCs w:val="23"/>
        </w:rPr>
        <w:t>201</w:t>
      </w:r>
      <w:r w:rsidR="00FC1FD0" w:rsidRPr="0007313C">
        <w:rPr>
          <w:bCs/>
          <w:sz w:val="23"/>
          <w:szCs w:val="23"/>
        </w:rPr>
        <w:t>6</w:t>
      </w:r>
      <w:r w:rsidR="00A16B1A" w:rsidRPr="0007313C">
        <w:rPr>
          <w:bCs/>
          <w:sz w:val="23"/>
          <w:szCs w:val="23"/>
        </w:rPr>
        <w:t xml:space="preserve"> – 201</w:t>
      </w:r>
      <w:r w:rsidR="00FC1FD0" w:rsidRPr="0007313C">
        <w:rPr>
          <w:bCs/>
          <w:sz w:val="23"/>
          <w:szCs w:val="23"/>
        </w:rPr>
        <w:t>9</w:t>
      </w:r>
      <w:r w:rsidR="00350BD0" w:rsidRPr="0007313C">
        <w:rPr>
          <w:bCs/>
          <w:sz w:val="23"/>
          <w:szCs w:val="23"/>
        </w:rPr>
        <w:t xml:space="preserve"> </w:t>
      </w:r>
      <w:r w:rsidR="001D6EDB" w:rsidRPr="0007313C">
        <w:rPr>
          <w:bCs/>
          <w:sz w:val="23"/>
          <w:szCs w:val="23"/>
        </w:rPr>
        <w:t>(mill</w:t>
      </w:r>
      <w:r w:rsidR="00553844" w:rsidRPr="0007313C">
        <w:rPr>
          <w:bCs/>
          <w:sz w:val="23"/>
          <w:szCs w:val="23"/>
        </w:rPr>
        <w:t>.</w:t>
      </w:r>
      <w:r w:rsidR="001D6EDB" w:rsidRPr="0007313C">
        <w:rPr>
          <w:bCs/>
          <w:sz w:val="23"/>
          <w:szCs w:val="23"/>
        </w:rPr>
        <w:t xml:space="preserve"> kr)</w:t>
      </w:r>
      <w:r w:rsidR="00F25BBA" w:rsidRPr="0007313C">
        <w:rPr>
          <w:bCs/>
          <w:sz w:val="23"/>
          <w:szCs w:val="23"/>
        </w:rPr>
        <w:t xml:space="preserve">. </w:t>
      </w:r>
      <w:r w:rsidR="00575C26" w:rsidRPr="0007313C">
        <w:rPr>
          <w:bCs/>
          <w:sz w:val="23"/>
          <w:szCs w:val="23"/>
        </w:rPr>
        <w:t xml:space="preserve">Tiltak på bygninger som er definert som campusprosjekt er som nevnt ikke prioritert. </w:t>
      </w:r>
    </w:p>
    <w:tbl>
      <w:tblPr>
        <w:tblW w:w="9498" w:type="dxa"/>
        <w:tblInd w:w="70" w:type="dxa"/>
        <w:tblCellMar>
          <w:left w:w="70" w:type="dxa"/>
          <w:right w:w="70" w:type="dxa"/>
        </w:tblCellMar>
        <w:tblLook w:val="04A0" w:firstRow="1" w:lastRow="0" w:firstColumn="1" w:lastColumn="0" w:noHBand="0" w:noVBand="1"/>
      </w:tblPr>
      <w:tblGrid>
        <w:gridCol w:w="384"/>
        <w:gridCol w:w="6279"/>
        <w:gridCol w:w="780"/>
        <w:gridCol w:w="780"/>
        <w:gridCol w:w="780"/>
        <w:gridCol w:w="780"/>
      </w:tblGrid>
      <w:tr w:rsidR="00222A7C" w:rsidRPr="00A8055E" w:rsidTr="00666B5B">
        <w:trPr>
          <w:trHeight w:val="348"/>
        </w:trPr>
        <w:tc>
          <w:tcPr>
            <w:tcW w:w="9498" w:type="dxa"/>
            <w:gridSpan w:val="6"/>
            <w:tcBorders>
              <w:top w:val="nil"/>
              <w:left w:val="nil"/>
              <w:bottom w:val="nil"/>
              <w:right w:val="nil"/>
            </w:tcBorders>
            <w:shd w:val="clear" w:color="auto" w:fill="auto"/>
            <w:noWrap/>
            <w:vAlign w:val="bottom"/>
            <w:hideMark/>
          </w:tcPr>
          <w:p w:rsidR="003A1142" w:rsidRPr="0007313C" w:rsidRDefault="003A1142" w:rsidP="00222A7C">
            <w:pPr>
              <w:rPr>
                <w:rFonts w:asciiTheme="minorHAnsi" w:hAnsiTheme="minorHAnsi" w:cs="Arial"/>
                <w:sz w:val="32"/>
                <w:szCs w:val="32"/>
                <w:lang w:val="nb-NO" w:eastAsia="nb-NO"/>
              </w:rPr>
            </w:pPr>
          </w:p>
        </w:tc>
      </w:tr>
      <w:tr w:rsidR="00222A7C" w:rsidRPr="00A8055E" w:rsidTr="00666B5B">
        <w:trPr>
          <w:trHeight w:val="276"/>
        </w:trPr>
        <w:tc>
          <w:tcPr>
            <w:tcW w:w="384"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c>
          <w:tcPr>
            <w:tcW w:w="6279"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c>
          <w:tcPr>
            <w:tcW w:w="708"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c>
          <w:tcPr>
            <w:tcW w:w="709"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c>
          <w:tcPr>
            <w:tcW w:w="709"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c>
          <w:tcPr>
            <w:tcW w:w="709" w:type="dxa"/>
            <w:tcBorders>
              <w:top w:val="nil"/>
              <w:left w:val="nil"/>
              <w:bottom w:val="nil"/>
              <w:right w:val="nil"/>
            </w:tcBorders>
            <w:shd w:val="clear" w:color="auto" w:fill="auto"/>
            <w:noWrap/>
            <w:vAlign w:val="bottom"/>
            <w:hideMark/>
          </w:tcPr>
          <w:p w:rsidR="00222A7C" w:rsidRPr="0007313C" w:rsidRDefault="00222A7C" w:rsidP="00222A7C">
            <w:pPr>
              <w:rPr>
                <w:rFonts w:ascii="Arial" w:hAnsi="Arial" w:cs="Arial"/>
                <w:sz w:val="20"/>
                <w:szCs w:val="20"/>
                <w:lang w:val="nb-NO" w:eastAsia="nb-NO"/>
              </w:rPr>
            </w:pPr>
          </w:p>
        </w:tc>
      </w:tr>
      <w:tr w:rsidR="00222A7C" w:rsidRPr="0007313C" w:rsidTr="00666B5B">
        <w:trPr>
          <w:trHeight w:val="312"/>
        </w:trPr>
        <w:tc>
          <w:tcPr>
            <w:tcW w:w="3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2A7C" w:rsidRPr="0007313C" w:rsidRDefault="00222A7C" w:rsidP="00222A7C">
            <w:pPr>
              <w:rPr>
                <w:rFonts w:ascii="Calibri" w:hAnsi="Calibri" w:cs="Arial"/>
                <w:sz w:val="20"/>
                <w:szCs w:val="20"/>
                <w:lang w:val="nb-NO" w:eastAsia="nb-NO"/>
              </w:rPr>
            </w:pPr>
            <w:r w:rsidRPr="0007313C">
              <w:rPr>
                <w:rFonts w:ascii="Calibri" w:hAnsi="Calibri" w:cs="Arial"/>
                <w:sz w:val="20"/>
                <w:szCs w:val="20"/>
                <w:lang w:val="nb-NO" w:eastAsia="nb-NO"/>
              </w:rPr>
              <w:t> </w:t>
            </w:r>
          </w:p>
        </w:tc>
        <w:tc>
          <w:tcPr>
            <w:tcW w:w="6279" w:type="dxa"/>
            <w:tcBorders>
              <w:top w:val="single" w:sz="8" w:space="0" w:color="auto"/>
              <w:left w:val="nil"/>
              <w:bottom w:val="single" w:sz="8" w:space="0" w:color="auto"/>
              <w:right w:val="single" w:sz="4" w:space="0" w:color="auto"/>
            </w:tcBorders>
            <w:shd w:val="clear" w:color="auto" w:fill="auto"/>
            <w:noWrap/>
            <w:vAlign w:val="bottom"/>
            <w:hideMark/>
          </w:tcPr>
          <w:p w:rsidR="00222A7C" w:rsidRPr="0007313C" w:rsidRDefault="00222A7C" w:rsidP="00505061">
            <w:pPr>
              <w:rPr>
                <w:rFonts w:ascii="Calibri" w:hAnsi="Calibri" w:cs="Arial"/>
                <w:b/>
                <w:sz w:val="28"/>
                <w:szCs w:val="28"/>
                <w:lang w:val="nb-NO" w:eastAsia="nb-NO"/>
              </w:rPr>
            </w:pPr>
            <w:r w:rsidRPr="0007313C">
              <w:rPr>
                <w:rFonts w:ascii="Calibri" w:hAnsi="Calibri" w:cs="Arial"/>
                <w:b/>
                <w:sz w:val="28"/>
                <w:szCs w:val="28"/>
                <w:lang w:val="nb-NO" w:eastAsia="nb-NO"/>
              </w:rPr>
              <w:t>TILTAK I PERIODEN 201</w:t>
            </w:r>
            <w:r w:rsidR="00505061" w:rsidRPr="0007313C">
              <w:rPr>
                <w:rFonts w:ascii="Calibri" w:hAnsi="Calibri" w:cs="Arial"/>
                <w:b/>
                <w:sz w:val="28"/>
                <w:szCs w:val="28"/>
                <w:lang w:val="nb-NO" w:eastAsia="nb-NO"/>
              </w:rPr>
              <w:t>6</w:t>
            </w:r>
            <w:r w:rsidRPr="0007313C">
              <w:rPr>
                <w:rFonts w:ascii="Calibri" w:hAnsi="Calibri" w:cs="Arial"/>
                <w:b/>
                <w:sz w:val="28"/>
                <w:szCs w:val="28"/>
                <w:lang w:val="nb-NO" w:eastAsia="nb-NO"/>
              </w:rPr>
              <w:t xml:space="preserve"> - 201</w:t>
            </w:r>
            <w:r w:rsidR="00505061" w:rsidRPr="0007313C">
              <w:rPr>
                <w:rFonts w:ascii="Calibri" w:hAnsi="Calibri" w:cs="Arial"/>
                <w:b/>
                <w:sz w:val="28"/>
                <w:szCs w:val="28"/>
                <w:lang w:val="nb-NO" w:eastAsia="nb-NO"/>
              </w:rPr>
              <w:t>9</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22A7C" w:rsidRPr="0007313C" w:rsidRDefault="00222A7C" w:rsidP="00505061">
            <w:pPr>
              <w:jc w:val="right"/>
              <w:rPr>
                <w:rFonts w:ascii="Calibri" w:hAnsi="Calibri" w:cs="Arial"/>
                <w:b/>
                <w:sz w:val="28"/>
                <w:szCs w:val="28"/>
                <w:lang w:val="nb-NO" w:eastAsia="nb-NO"/>
              </w:rPr>
            </w:pPr>
            <w:r w:rsidRPr="0007313C">
              <w:rPr>
                <w:rFonts w:ascii="Calibri" w:hAnsi="Calibri" w:cs="Arial"/>
                <w:b/>
                <w:sz w:val="28"/>
                <w:szCs w:val="28"/>
                <w:lang w:val="nb-NO" w:eastAsia="nb-NO"/>
              </w:rPr>
              <w:t>201</w:t>
            </w:r>
            <w:r w:rsidR="00505061" w:rsidRPr="0007313C">
              <w:rPr>
                <w:rFonts w:ascii="Calibri" w:hAnsi="Calibri" w:cs="Arial"/>
                <w:b/>
                <w:sz w:val="28"/>
                <w:szCs w:val="28"/>
                <w:lang w:val="nb-NO" w:eastAsia="nb-NO"/>
              </w:rPr>
              <w:t>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2A7C" w:rsidRPr="0007313C" w:rsidRDefault="00222A7C" w:rsidP="00505061">
            <w:pPr>
              <w:jc w:val="right"/>
              <w:rPr>
                <w:rFonts w:ascii="Calibri" w:hAnsi="Calibri" w:cs="Arial"/>
                <w:b/>
                <w:sz w:val="28"/>
                <w:szCs w:val="28"/>
                <w:lang w:val="nb-NO" w:eastAsia="nb-NO"/>
              </w:rPr>
            </w:pPr>
            <w:r w:rsidRPr="0007313C">
              <w:rPr>
                <w:rFonts w:ascii="Calibri" w:hAnsi="Calibri" w:cs="Arial"/>
                <w:b/>
                <w:sz w:val="28"/>
                <w:szCs w:val="28"/>
                <w:lang w:val="nb-NO" w:eastAsia="nb-NO"/>
              </w:rPr>
              <w:t>201</w:t>
            </w:r>
            <w:r w:rsidR="00505061" w:rsidRPr="0007313C">
              <w:rPr>
                <w:rFonts w:ascii="Calibri" w:hAnsi="Calibri" w:cs="Arial"/>
                <w:b/>
                <w:sz w:val="28"/>
                <w:szCs w:val="28"/>
                <w:lang w:val="nb-NO" w:eastAsia="nb-NO"/>
              </w:rPr>
              <w:t>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22A7C" w:rsidRPr="0007313C" w:rsidRDefault="00222A7C" w:rsidP="00505061">
            <w:pPr>
              <w:jc w:val="right"/>
              <w:rPr>
                <w:rFonts w:ascii="Calibri" w:hAnsi="Calibri" w:cs="Arial"/>
                <w:b/>
                <w:sz w:val="28"/>
                <w:szCs w:val="28"/>
                <w:lang w:val="nb-NO" w:eastAsia="nb-NO"/>
              </w:rPr>
            </w:pPr>
            <w:r w:rsidRPr="0007313C">
              <w:rPr>
                <w:rFonts w:ascii="Calibri" w:hAnsi="Calibri" w:cs="Arial"/>
                <w:b/>
                <w:sz w:val="28"/>
                <w:szCs w:val="28"/>
                <w:lang w:val="nb-NO" w:eastAsia="nb-NO"/>
              </w:rPr>
              <w:t>201</w:t>
            </w:r>
            <w:r w:rsidR="00505061" w:rsidRPr="0007313C">
              <w:rPr>
                <w:rFonts w:ascii="Calibri" w:hAnsi="Calibri" w:cs="Arial"/>
                <w:b/>
                <w:sz w:val="28"/>
                <w:szCs w:val="28"/>
                <w:lang w:val="nb-NO" w:eastAsia="nb-NO"/>
              </w:rPr>
              <w:t>8</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222A7C" w:rsidRPr="0007313C" w:rsidRDefault="00222A7C" w:rsidP="00505061">
            <w:pPr>
              <w:jc w:val="right"/>
              <w:rPr>
                <w:rFonts w:ascii="Calibri" w:hAnsi="Calibri" w:cs="Arial"/>
                <w:b/>
                <w:sz w:val="28"/>
                <w:szCs w:val="28"/>
                <w:lang w:val="nb-NO" w:eastAsia="nb-NO"/>
              </w:rPr>
            </w:pPr>
            <w:r w:rsidRPr="0007313C">
              <w:rPr>
                <w:rFonts w:ascii="Calibri" w:hAnsi="Calibri" w:cs="Arial"/>
                <w:b/>
                <w:sz w:val="28"/>
                <w:szCs w:val="28"/>
                <w:lang w:val="nb-NO" w:eastAsia="nb-NO"/>
              </w:rPr>
              <w:t>201</w:t>
            </w:r>
            <w:r w:rsidR="00505061" w:rsidRPr="0007313C">
              <w:rPr>
                <w:rFonts w:ascii="Calibri" w:hAnsi="Calibri" w:cs="Arial"/>
                <w:b/>
                <w:sz w:val="28"/>
                <w:szCs w:val="28"/>
                <w:lang w:val="nb-NO" w:eastAsia="nb-NO"/>
              </w:rPr>
              <w:t>9</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1</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HMS-tiltak og</w:t>
            </w:r>
            <w:r w:rsidR="005D45E5">
              <w:rPr>
                <w:rFonts w:ascii="Calibri" w:hAnsi="Calibri" w:cs="Arial"/>
                <w:lang w:val="nb-NO" w:eastAsia="nb-NO"/>
              </w:rPr>
              <w:t xml:space="preserve"> branntekniske utbedringer</w:t>
            </w:r>
          </w:p>
        </w:tc>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lang w:val="nb-NO" w:eastAsia="nb-NO"/>
              </w:rPr>
            </w:pPr>
            <w:r w:rsidRPr="0007313C">
              <w:rPr>
                <w:rFonts w:ascii="Arial" w:hAnsi="Arial" w:cs="Arial"/>
              </w:rPr>
              <w:t>31,0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13,5</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13,5</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13,5</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3</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Utskifting og oppgradering el- og ventilasjonsanlegg</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17,0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16,0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25,0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3</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Utskifting/oppgradering av heiser</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2,5</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8,0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7,0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5,5</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4</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Bygningsmessige utbedringer - tak og fasader med mer</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84,3</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67,5</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60,5</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54,0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5</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Egenproduksjon handverktjenester og tilhørende anskaffelser</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35,0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35,0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35,0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35,0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6</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Levende campus innovative læringsareal og møteplasser</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7</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Kvinne/barn MR-senter, St. Olav</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5,0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8</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Felles nybygg St.</w:t>
            </w:r>
            <w:r w:rsidR="00AC1455" w:rsidRPr="0007313C">
              <w:rPr>
                <w:rFonts w:ascii="Calibri" w:hAnsi="Calibri" w:cs="Arial"/>
                <w:lang w:val="nb-NO" w:eastAsia="nb-NO"/>
              </w:rPr>
              <w:t xml:space="preserve"> </w:t>
            </w:r>
            <w:r w:rsidRPr="0007313C">
              <w:rPr>
                <w:rFonts w:ascii="Calibri" w:hAnsi="Calibri" w:cs="Arial"/>
                <w:lang w:val="nb-NO" w:eastAsia="nb-NO"/>
              </w:rPr>
              <w:t>Olavs hospital/NTNU (MR-skanner)</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17,2</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A53B39">
        <w:trPr>
          <w:trHeight w:val="300"/>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9</w:t>
            </w:r>
          </w:p>
        </w:tc>
        <w:tc>
          <w:tcPr>
            <w:tcW w:w="627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Rehabiliteringer av Kjemibygg 3 – oppgradering bioteknologi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96,0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88,0</w:t>
            </w:r>
          </w:p>
        </w:tc>
        <w:tc>
          <w:tcPr>
            <w:tcW w:w="709" w:type="dxa"/>
            <w:tcBorders>
              <w:top w:val="nil"/>
              <w:left w:val="nil"/>
              <w:bottom w:val="single" w:sz="4"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A53B39">
        <w:trPr>
          <w:trHeight w:val="312"/>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10</w:t>
            </w:r>
          </w:p>
        </w:tc>
        <w:tc>
          <w:tcPr>
            <w:tcW w:w="6279" w:type="dxa"/>
            <w:tcBorders>
              <w:top w:val="single" w:sz="4" w:space="0" w:color="auto"/>
              <w:left w:val="nil"/>
              <w:bottom w:val="single" w:sz="4" w:space="0" w:color="auto"/>
              <w:right w:val="single" w:sz="4" w:space="0" w:color="auto"/>
            </w:tcBorders>
            <w:shd w:val="clear" w:color="auto" w:fill="auto"/>
            <w:noWrap/>
            <w:vAlign w:val="bottom"/>
          </w:tcPr>
          <w:p w:rsidR="00505061" w:rsidRPr="0007313C" w:rsidRDefault="00505061" w:rsidP="00505061">
            <w:pPr>
              <w:rPr>
                <w:rFonts w:ascii="Calibri" w:hAnsi="Calibri" w:cs="Arial"/>
                <w:lang w:val="nb-NO" w:eastAsia="nb-NO"/>
              </w:rPr>
            </w:pPr>
            <w:r w:rsidRPr="0007313C">
              <w:rPr>
                <w:rFonts w:ascii="Calibri" w:hAnsi="Calibri" w:cs="Arial"/>
                <w:lang w:val="nb-NO" w:eastAsia="nb-NO"/>
              </w:rPr>
              <w:t xml:space="preserve">Rehabiliteringer av </w:t>
            </w:r>
            <w:proofErr w:type="spellStart"/>
            <w:r w:rsidRPr="0007313C">
              <w:rPr>
                <w:rFonts w:ascii="Calibri" w:hAnsi="Calibri" w:cs="Arial"/>
                <w:lang w:val="nb-NO" w:eastAsia="nb-NO"/>
              </w:rPr>
              <w:t>Thingvallagården</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26,0</w:t>
            </w:r>
          </w:p>
        </w:tc>
        <w:tc>
          <w:tcPr>
            <w:tcW w:w="709" w:type="dxa"/>
            <w:tcBorders>
              <w:top w:val="nil"/>
              <w:left w:val="nil"/>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8"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A53B39">
        <w:trPr>
          <w:trHeight w:val="312"/>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11</w:t>
            </w:r>
          </w:p>
        </w:tc>
        <w:tc>
          <w:tcPr>
            <w:tcW w:w="6279" w:type="dxa"/>
            <w:tcBorders>
              <w:top w:val="single" w:sz="4" w:space="0" w:color="auto"/>
              <w:left w:val="nil"/>
              <w:bottom w:val="single" w:sz="4" w:space="0" w:color="auto"/>
              <w:right w:val="single" w:sz="4" w:space="0" w:color="auto"/>
            </w:tcBorders>
            <w:shd w:val="clear" w:color="auto" w:fill="auto"/>
            <w:noWrap/>
            <w:vAlign w:val="bottom"/>
          </w:tcPr>
          <w:p w:rsidR="00505061" w:rsidRPr="0007313C" w:rsidRDefault="00505061" w:rsidP="00505061">
            <w:pPr>
              <w:rPr>
                <w:rFonts w:ascii="Calibri" w:hAnsi="Calibri" w:cs="Arial"/>
                <w:lang w:val="nb-NO" w:eastAsia="nb-NO"/>
              </w:rPr>
            </w:pPr>
            <w:r w:rsidRPr="0007313C">
              <w:rPr>
                <w:rFonts w:ascii="Calibri" w:hAnsi="Calibri" w:cs="Arial"/>
                <w:lang w:val="nb-NO" w:eastAsia="nb-NO"/>
              </w:rPr>
              <w:t>Varmeteknisk lab. - oppgradering ECC</w:t>
            </w:r>
            <w:r w:rsidR="002A6514" w:rsidRPr="0007313C">
              <w:rPr>
                <w:rFonts w:ascii="Calibri" w:hAnsi="Calibri" w:cs="Arial"/>
                <w:lang w:val="nb-NO" w:eastAsia="nb-NO"/>
              </w:rPr>
              <w:t>SEL</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76,0</w:t>
            </w:r>
          </w:p>
        </w:tc>
        <w:tc>
          <w:tcPr>
            <w:tcW w:w="709" w:type="dxa"/>
            <w:tcBorders>
              <w:top w:val="nil"/>
              <w:left w:val="nil"/>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4"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4" w:space="0" w:color="auto"/>
              <w:right w:val="single" w:sz="8" w:space="0" w:color="auto"/>
            </w:tcBorders>
            <w:shd w:val="clear" w:color="auto" w:fill="auto"/>
            <w:noWrap/>
            <w:vAlign w:val="bottom"/>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A53B39">
        <w:trPr>
          <w:trHeight w:val="312"/>
        </w:trPr>
        <w:tc>
          <w:tcPr>
            <w:tcW w:w="384" w:type="dxa"/>
            <w:tcBorders>
              <w:top w:val="single" w:sz="4" w:space="0" w:color="auto"/>
              <w:left w:val="single" w:sz="8" w:space="0" w:color="auto"/>
              <w:bottom w:val="nil"/>
              <w:right w:val="single" w:sz="4" w:space="0" w:color="auto"/>
            </w:tcBorders>
            <w:shd w:val="clear" w:color="auto" w:fill="auto"/>
            <w:noWrap/>
            <w:vAlign w:val="bottom"/>
            <w:hideMark/>
          </w:tcPr>
          <w:p w:rsidR="00505061" w:rsidRPr="0007313C" w:rsidRDefault="00505061" w:rsidP="00505061">
            <w:pPr>
              <w:jc w:val="right"/>
              <w:rPr>
                <w:rFonts w:ascii="Calibri" w:hAnsi="Calibri" w:cs="Arial"/>
                <w:lang w:val="nb-NO" w:eastAsia="nb-NO"/>
              </w:rPr>
            </w:pPr>
            <w:r w:rsidRPr="0007313C">
              <w:rPr>
                <w:rFonts w:ascii="Calibri" w:hAnsi="Calibri" w:cs="Arial"/>
                <w:lang w:val="nb-NO" w:eastAsia="nb-NO"/>
              </w:rPr>
              <w:t>12</w:t>
            </w:r>
          </w:p>
        </w:tc>
        <w:tc>
          <w:tcPr>
            <w:tcW w:w="6279" w:type="dxa"/>
            <w:tcBorders>
              <w:top w:val="single" w:sz="4" w:space="0" w:color="auto"/>
              <w:left w:val="nil"/>
              <w:bottom w:val="nil"/>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Nybygg for ZEB-laboratorium</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25,0</w:t>
            </w:r>
          </w:p>
        </w:tc>
        <w:tc>
          <w:tcPr>
            <w:tcW w:w="709" w:type="dxa"/>
            <w:tcBorders>
              <w:top w:val="nil"/>
              <w:left w:val="nil"/>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c>
          <w:tcPr>
            <w:tcW w:w="709" w:type="dxa"/>
            <w:tcBorders>
              <w:top w:val="nil"/>
              <w:left w:val="nil"/>
              <w:bottom w:val="single" w:sz="8" w:space="0" w:color="auto"/>
              <w:right w:val="single" w:sz="8" w:space="0" w:color="auto"/>
            </w:tcBorders>
            <w:shd w:val="clear" w:color="auto" w:fill="auto"/>
            <w:noWrap/>
            <w:vAlign w:val="bottom"/>
            <w:hideMark/>
          </w:tcPr>
          <w:p w:rsidR="00505061" w:rsidRPr="0007313C" w:rsidRDefault="00505061" w:rsidP="00505061">
            <w:pPr>
              <w:jc w:val="right"/>
              <w:rPr>
                <w:rFonts w:ascii="Arial" w:hAnsi="Arial" w:cs="Arial"/>
              </w:rPr>
            </w:pPr>
            <w:r w:rsidRPr="0007313C">
              <w:rPr>
                <w:rFonts w:ascii="Arial" w:hAnsi="Arial" w:cs="Arial"/>
              </w:rPr>
              <w:t>0,0</w:t>
            </w:r>
          </w:p>
        </w:tc>
      </w:tr>
      <w:tr w:rsidR="00505061" w:rsidRPr="0007313C" w:rsidTr="00604961">
        <w:trPr>
          <w:trHeight w:val="324"/>
        </w:trPr>
        <w:tc>
          <w:tcPr>
            <w:tcW w:w="3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5061" w:rsidRPr="0007313C" w:rsidRDefault="00505061" w:rsidP="00505061">
            <w:pPr>
              <w:rPr>
                <w:rFonts w:ascii="Calibri" w:hAnsi="Calibri" w:cs="Arial"/>
                <w:lang w:val="nb-NO" w:eastAsia="nb-NO"/>
              </w:rPr>
            </w:pPr>
            <w:r w:rsidRPr="0007313C">
              <w:rPr>
                <w:rFonts w:ascii="Calibri" w:hAnsi="Calibri" w:cs="Arial"/>
                <w:lang w:val="nb-NO" w:eastAsia="nb-NO"/>
              </w:rPr>
              <w:t> </w:t>
            </w:r>
          </w:p>
        </w:tc>
        <w:tc>
          <w:tcPr>
            <w:tcW w:w="6279" w:type="dxa"/>
            <w:tcBorders>
              <w:top w:val="single" w:sz="8" w:space="0" w:color="auto"/>
              <w:left w:val="nil"/>
              <w:bottom w:val="single" w:sz="8" w:space="0" w:color="auto"/>
              <w:right w:val="single" w:sz="4" w:space="0" w:color="auto"/>
            </w:tcBorders>
            <w:shd w:val="clear" w:color="auto" w:fill="auto"/>
            <w:noWrap/>
            <w:vAlign w:val="bottom"/>
            <w:hideMark/>
          </w:tcPr>
          <w:p w:rsidR="00505061" w:rsidRPr="0007313C" w:rsidRDefault="00505061" w:rsidP="00505061">
            <w:pPr>
              <w:rPr>
                <w:rFonts w:asciiTheme="minorHAnsi" w:hAnsiTheme="minorHAnsi" w:cs="Arial"/>
                <w:b/>
                <w:sz w:val="28"/>
                <w:szCs w:val="28"/>
                <w:lang w:val="nb-NO" w:eastAsia="nb-NO"/>
              </w:rPr>
            </w:pPr>
            <w:r w:rsidRPr="0007313C">
              <w:rPr>
                <w:rFonts w:asciiTheme="minorHAnsi" w:hAnsiTheme="minorHAnsi" w:cs="Arial"/>
                <w:b/>
                <w:sz w:val="28"/>
                <w:szCs w:val="28"/>
                <w:lang w:val="nb-NO" w:eastAsia="nb-NO"/>
              </w:rPr>
              <w:t>SUM (mill. kroner)</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Theme="minorHAnsi" w:hAnsiTheme="minorHAnsi" w:cs="Arial"/>
                <w:b/>
                <w:bCs/>
                <w:sz w:val="28"/>
                <w:szCs w:val="28"/>
              </w:rPr>
            </w:pPr>
            <w:r w:rsidRPr="0007313C">
              <w:rPr>
                <w:rFonts w:asciiTheme="minorHAnsi" w:hAnsiTheme="minorHAnsi" w:cs="Arial"/>
                <w:b/>
                <w:bCs/>
                <w:sz w:val="28"/>
                <w:szCs w:val="28"/>
              </w:rPr>
              <w:t>375,8</w:t>
            </w:r>
          </w:p>
        </w:tc>
        <w:tc>
          <w:tcPr>
            <w:tcW w:w="709" w:type="dxa"/>
            <w:tcBorders>
              <w:top w:val="nil"/>
              <w:left w:val="nil"/>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Theme="minorHAnsi" w:hAnsiTheme="minorHAnsi" w:cs="Arial"/>
                <w:b/>
                <w:bCs/>
                <w:sz w:val="28"/>
                <w:szCs w:val="28"/>
              </w:rPr>
            </w:pPr>
            <w:r w:rsidRPr="0007313C">
              <w:rPr>
                <w:rFonts w:asciiTheme="minorHAnsi" w:hAnsiTheme="minorHAnsi" w:cs="Arial"/>
                <w:b/>
                <w:bCs/>
                <w:sz w:val="28"/>
                <w:szCs w:val="28"/>
              </w:rPr>
              <w:t>276,2</w:t>
            </w:r>
          </w:p>
        </w:tc>
        <w:tc>
          <w:tcPr>
            <w:tcW w:w="709" w:type="dxa"/>
            <w:tcBorders>
              <w:top w:val="nil"/>
              <w:left w:val="nil"/>
              <w:bottom w:val="single" w:sz="8" w:space="0" w:color="auto"/>
              <w:right w:val="single" w:sz="4" w:space="0" w:color="auto"/>
            </w:tcBorders>
            <w:shd w:val="clear" w:color="auto" w:fill="auto"/>
            <w:noWrap/>
            <w:vAlign w:val="bottom"/>
            <w:hideMark/>
          </w:tcPr>
          <w:p w:rsidR="00505061" w:rsidRPr="0007313C" w:rsidRDefault="00505061" w:rsidP="00505061">
            <w:pPr>
              <w:jc w:val="right"/>
              <w:rPr>
                <w:rFonts w:asciiTheme="minorHAnsi" w:hAnsiTheme="minorHAnsi" w:cs="Arial"/>
                <w:b/>
                <w:bCs/>
                <w:sz w:val="28"/>
                <w:szCs w:val="28"/>
              </w:rPr>
            </w:pPr>
            <w:r w:rsidRPr="0007313C">
              <w:rPr>
                <w:rFonts w:asciiTheme="minorHAnsi" w:hAnsiTheme="minorHAnsi" w:cs="Arial"/>
                <w:b/>
                <w:bCs/>
                <w:sz w:val="28"/>
                <w:szCs w:val="28"/>
              </w:rPr>
              <w:t>137,0</w:t>
            </w:r>
          </w:p>
        </w:tc>
        <w:tc>
          <w:tcPr>
            <w:tcW w:w="709" w:type="dxa"/>
            <w:tcBorders>
              <w:top w:val="nil"/>
              <w:left w:val="nil"/>
              <w:bottom w:val="single" w:sz="8" w:space="0" w:color="auto"/>
              <w:right w:val="single" w:sz="8" w:space="0" w:color="auto"/>
            </w:tcBorders>
            <w:shd w:val="clear" w:color="auto" w:fill="auto"/>
            <w:noWrap/>
            <w:vAlign w:val="bottom"/>
            <w:hideMark/>
          </w:tcPr>
          <w:p w:rsidR="00505061" w:rsidRPr="0007313C" w:rsidRDefault="00505061" w:rsidP="00505061">
            <w:pPr>
              <w:jc w:val="right"/>
              <w:rPr>
                <w:rFonts w:asciiTheme="minorHAnsi" w:hAnsiTheme="minorHAnsi" w:cs="Arial"/>
                <w:b/>
                <w:bCs/>
                <w:sz w:val="28"/>
                <w:szCs w:val="28"/>
              </w:rPr>
            </w:pPr>
            <w:r w:rsidRPr="0007313C">
              <w:rPr>
                <w:rFonts w:asciiTheme="minorHAnsi" w:hAnsiTheme="minorHAnsi" w:cs="Arial"/>
                <w:b/>
                <w:bCs/>
                <w:sz w:val="28"/>
                <w:szCs w:val="28"/>
              </w:rPr>
              <w:t>138,0</w:t>
            </w:r>
          </w:p>
        </w:tc>
      </w:tr>
    </w:tbl>
    <w:p w:rsidR="0048274D" w:rsidRPr="0007313C" w:rsidRDefault="0048274D" w:rsidP="00752FE3">
      <w:pPr>
        <w:pStyle w:val="Default"/>
        <w:rPr>
          <w:rStyle w:val="Sterk"/>
          <w:sz w:val="28"/>
        </w:rPr>
      </w:pPr>
    </w:p>
    <w:p w:rsidR="00752FE3" w:rsidRPr="00694488" w:rsidRDefault="00694488" w:rsidP="00694488">
      <w:pPr>
        <w:rPr>
          <w:rStyle w:val="Sterk"/>
          <w:b w:val="0"/>
          <w:sz w:val="23"/>
          <w:szCs w:val="23"/>
          <w:lang w:val="nb-NO"/>
        </w:rPr>
      </w:pPr>
      <w:r w:rsidRPr="0007313C">
        <w:rPr>
          <w:rStyle w:val="Sterk"/>
          <w:b w:val="0"/>
          <w:sz w:val="23"/>
          <w:szCs w:val="23"/>
          <w:lang w:val="nb-NO"/>
        </w:rPr>
        <w:t>Årsaken til a</w:t>
      </w:r>
      <w:r w:rsidR="008A4585" w:rsidRPr="0007313C">
        <w:rPr>
          <w:rStyle w:val="Sterk"/>
          <w:b w:val="0"/>
          <w:sz w:val="23"/>
          <w:szCs w:val="23"/>
          <w:lang w:val="nb-NO"/>
        </w:rPr>
        <w:t xml:space="preserve">t summene </w:t>
      </w:r>
      <w:r w:rsidR="00FA1F91">
        <w:rPr>
          <w:rStyle w:val="Sterk"/>
          <w:b w:val="0"/>
          <w:sz w:val="23"/>
          <w:szCs w:val="23"/>
          <w:lang w:val="nb-NO"/>
        </w:rPr>
        <w:t xml:space="preserve">samlet </w:t>
      </w:r>
      <w:r w:rsidR="008A4585" w:rsidRPr="0007313C">
        <w:rPr>
          <w:rStyle w:val="Sterk"/>
          <w:b w:val="0"/>
          <w:sz w:val="23"/>
          <w:szCs w:val="23"/>
          <w:lang w:val="nb-NO"/>
        </w:rPr>
        <w:t xml:space="preserve">overstiger det som </w:t>
      </w:r>
      <w:r w:rsidRPr="0007313C">
        <w:rPr>
          <w:rStyle w:val="Sterk"/>
          <w:b w:val="0"/>
          <w:sz w:val="23"/>
          <w:szCs w:val="23"/>
          <w:lang w:val="nb-NO"/>
        </w:rPr>
        <w:t xml:space="preserve">normalt </w:t>
      </w:r>
      <w:r w:rsidR="008A4585" w:rsidRPr="0007313C">
        <w:rPr>
          <w:rStyle w:val="Sterk"/>
          <w:b w:val="0"/>
          <w:sz w:val="23"/>
          <w:szCs w:val="23"/>
          <w:lang w:val="nb-NO"/>
        </w:rPr>
        <w:t xml:space="preserve">er </w:t>
      </w:r>
      <w:r w:rsidRPr="0007313C">
        <w:rPr>
          <w:rStyle w:val="Sterk"/>
          <w:b w:val="0"/>
          <w:sz w:val="23"/>
          <w:szCs w:val="23"/>
          <w:lang w:val="nb-NO"/>
        </w:rPr>
        <w:t xml:space="preserve">avsatt i budsjettet til vedlikehold </w:t>
      </w:r>
      <w:r w:rsidR="008A4585" w:rsidRPr="0007313C">
        <w:rPr>
          <w:rStyle w:val="Sterk"/>
          <w:b w:val="0"/>
          <w:sz w:val="23"/>
          <w:szCs w:val="23"/>
          <w:lang w:val="nb-NO"/>
        </w:rPr>
        <w:t xml:space="preserve">og utvikling </w:t>
      </w:r>
      <w:r w:rsidRPr="0007313C">
        <w:rPr>
          <w:rStyle w:val="Sterk"/>
          <w:b w:val="0"/>
          <w:sz w:val="23"/>
          <w:szCs w:val="23"/>
          <w:lang w:val="nb-NO"/>
        </w:rPr>
        <w:t xml:space="preserve">er at </w:t>
      </w:r>
      <w:r w:rsidR="008A4585" w:rsidRPr="0007313C">
        <w:rPr>
          <w:rStyle w:val="Sterk"/>
          <w:b w:val="0"/>
          <w:sz w:val="23"/>
          <w:szCs w:val="23"/>
          <w:lang w:val="nb-NO"/>
        </w:rPr>
        <w:t xml:space="preserve">det </w:t>
      </w:r>
      <w:r w:rsidRPr="0007313C">
        <w:rPr>
          <w:rStyle w:val="Sterk"/>
          <w:b w:val="0"/>
          <w:sz w:val="23"/>
          <w:szCs w:val="23"/>
          <w:lang w:val="nb-NO"/>
        </w:rPr>
        <w:t xml:space="preserve">i disse summene </w:t>
      </w:r>
      <w:r w:rsidR="008A4585" w:rsidRPr="0007313C">
        <w:rPr>
          <w:rStyle w:val="Sterk"/>
          <w:b w:val="0"/>
          <w:sz w:val="23"/>
          <w:szCs w:val="23"/>
          <w:lang w:val="nb-NO"/>
        </w:rPr>
        <w:t xml:space="preserve">og rammene </w:t>
      </w:r>
      <w:r w:rsidRPr="0007313C">
        <w:rPr>
          <w:rStyle w:val="Sterk"/>
          <w:b w:val="0"/>
          <w:sz w:val="23"/>
          <w:szCs w:val="23"/>
          <w:lang w:val="nb-NO"/>
        </w:rPr>
        <w:t>ligge</w:t>
      </w:r>
      <w:r w:rsidR="00FA1F91">
        <w:rPr>
          <w:rStyle w:val="Sterk"/>
          <w:b w:val="0"/>
          <w:sz w:val="23"/>
          <w:szCs w:val="23"/>
          <w:lang w:val="nb-NO"/>
        </w:rPr>
        <w:t xml:space="preserve">r periodiseringseffekter av </w:t>
      </w:r>
      <w:r w:rsidRPr="0007313C">
        <w:rPr>
          <w:rStyle w:val="Sterk"/>
          <w:b w:val="0"/>
          <w:sz w:val="23"/>
          <w:szCs w:val="23"/>
          <w:lang w:val="nb-NO"/>
        </w:rPr>
        <w:t>enkelte prosjekt</w:t>
      </w:r>
      <w:r w:rsidR="008A4585" w:rsidRPr="0007313C">
        <w:rPr>
          <w:rStyle w:val="Sterk"/>
          <w:b w:val="0"/>
          <w:sz w:val="23"/>
          <w:szCs w:val="23"/>
          <w:lang w:val="nb-NO"/>
        </w:rPr>
        <w:t xml:space="preserve">, </w:t>
      </w:r>
      <w:r w:rsidR="00FA1F91">
        <w:rPr>
          <w:rStyle w:val="Sterk"/>
          <w:b w:val="0"/>
          <w:sz w:val="23"/>
          <w:szCs w:val="23"/>
          <w:lang w:val="nb-NO"/>
        </w:rPr>
        <w:t xml:space="preserve">hovedsakelig knyttet til </w:t>
      </w:r>
      <w:r w:rsidR="008A4585" w:rsidRPr="0007313C">
        <w:rPr>
          <w:rStyle w:val="Sterk"/>
          <w:b w:val="0"/>
          <w:sz w:val="23"/>
          <w:szCs w:val="23"/>
          <w:lang w:val="nb-NO"/>
        </w:rPr>
        <w:t xml:space="preserve">tilleggsbevilgning </w:t>
      </w:r>
      <w:r w:rsidR="00FA1F91">
        <w:rPr>
          <w:rStyle w:val="Sterk"/>
          <w:b w:val="0"/>
          <w:sz w:val="23"/>
          <w:szCs w:val="23"/>
          <w:lang w:val="nb-NO"/>
        </w:rPr>
        <w:t xml:space="preserve">til </w:t>
      </w:r>
      <w:r w:rsidR="00777F54" w:rsidRPr="0007313C">
        <w:rPr>
          <w:rStyle w:val="Sterk"/>
          <w:b w:val="0"/>
          <w:sz w:val="23"/>
          <w:szCs w:val="23"/>
          <w:lang w:val="nb-NO"/>
        </w:rPr>
        <w:t>ECC</w:t>
      </w:r>
      <w:r w:rsidR="000733FA" w:rsidRPr="0007313C">
        <w:rPr>
          <w:rStyle w:val="Sterk"/>
          <w:b w:val="0"/>
          <w:sz w:val="23"/>
          <w:szCs w:val="23"/>
          <w:lang w:val="nb-NO"/>
        </w:rPr>
        <w:t>S</w:t>
      </w:r>
      <w:r w:rsidR="00FA1F91">
        <w:rPr>
          <w:rStyle w:val="Sterk"/>
          <w:b w:val="0"/>
          <w:sz w:val="23"/>
          <w:szCs w:val="23"/>
          <w:lang w:val="nb-NO"/>
        </w:rPr>
        <w:t>EL</w:t>
      </w:r>
      <w:r w:rsidRPr="0007313C">
        <w:rPr>
          <w:rStyle w:val="Sterk"/>
          <w:b w:val="0"/>
          <w:sz w:val="23"/>
          <w:szCs w:val="23"/>
          <w:lang w:val="nb-NO"/>
        </w:rPr>
        <w:t>.</w:t>
      </w:r>
      <w:r w:rsidR="008A4585" w:rsidRPr="0007313C">
        <w:rPr>
          <w:rStyle w:val="Sterk"/>
          <w:b w:val="0"/>
          <w:sz w:val="23"/>
          <w:szCs w:val="23"/>
          <w:lang w:val="nb-NO"/>
        </w:rPr>
        <w:t xml:space="preserve"> Det kan bli mindre justeringer i løpet av året.</w:t>
      </w:r>
    </w:p>
    <w:p w:rsidR="00752FE3" w:rsidRDefault="00752FE3" w:rsidP="00752FE3">
      <w:pPr>
        <w:pStyle w:val="Default"/>
        <w:rPr>
          <w:rStyle w:val="Sterk"/>
          <w:sz w:val="28"/>
        </w:rPr>
      </w:pPr>
    </w:p>
    <w:p w:rsidR="00A8055E" w:rsidRDefault="00A8055E" w:rsidP="00752FE3">
      <w:pPr>
        <w:pStyle w:val="Default"/>
        <w:rPr>
          <w:rStyle w:val="Sterk"/>
          <w:sz w:val="28"/>
        </w:rPr>
      </w:pPr>
      <w:hyperlink r:id="rId8" w:history="1">
        <w:r w:rsidRPr="00A8055E">
          <w:rPr>
            <w:rStyle w:val="Hyperkobling"/>
            <w:sz w:val="28"/>
          </w:rPr>
          <w:t>Vedlegg</w:t>
        </w:r>
      </w:hyperlink>
      <w:bookmarkStart w:id="7" w:name="_GoBack"/>
      <w:bookmarkEnd w:id="7"/>
    </w:p>
    <w:p w:rsidR="00752FE3" w:rsidRDefault="00752FE3" w:rsidP="00752FE3">
      <w:pPr>
        <w:pStyle w:val="Default"/>
        <w:rPr>
          <w:rStyle w:val="Sterk"/>
          <w:sz w:val="28"/>
        </w:rPr>
      </w:pPr>
    </w:p>
    <w:p w:rsidR="00752FE3" w:rsidRDefault="00752FE3" w:rsidP="00752FE3">
      <w:pPr>
        <w:pStyle w:val="Default"/>
        <w:rPr>
          <w:rStyle w:val="Sterk"/>
          <w:b w:val="0"/>
          <w:sz w:val="23"/>
          <w:szCs w:val="23"/>
        </w:rPr>
      </w:pPr>
    </w:p>
    <w:sectPr w:rsidR="00752F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68" w:rsidRDefault="00545468" w:rsidP="00797CD1">
      <w:r>
        <w:separator/>
      </w:r>
    </w:p>
  </w:endnote>
  <w:endnote w:type="continuationSeparator" w:id="0">
    <w:p w:rsidR="00545468" w:rsidRDefault="00545468" w:rsidP="0079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9" w:rsidRDefault="007F7E7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47591"/>
      <w:docPartObj>
        <w:docPartGallery w:val="Page Numbers (Bottom of Page)"/>
        <w:docPartUnique/>
      </w:docPartObj>
    </w:sdtPr>
    <w:sdtEndPr/>
    <w:sdtContent>
      <w:p w:rsidR="00CF0F92" w:rsidRDefault="00CF0F92">
        <w:pPr>
          <w:pStyle w:val="Bunntekst"/>
          <w:jc w:val="center"/>
        </w:pPr>
        <w:r>
          <w:fldChar w:fldCharType="begin"/>
        </w:r>
        <w:r>
          <w:instrText>PAGE   \* MERGEFORMAT</w:instrText>
        </w:r>
        <w:r>
          <w:fldChar w:fldCharType="separate"/>
        </w:r>
        <w:r w:rsidR="00A8055E" w:rsidRPr="00A8055E">
          <w:rPr>
            <w:noProof/>
            <w:lang w:val="nb-NO"/>
          </w:rPr>
          <w:t>6</w:t>
        </w:r>
        <w:r>
          <w:fldChar w:fldCharType="end"/>
        </w:r>
      </w:p>
    </w:sdtContent>
  </w:sdt>
  <w:p w:rsidR="00CF0F92" w:rsidRDefault="00CF0F9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9" w:rsidRDefault="007F7E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68" w:rsidRDefault="00545468" w:rsidP="00797CD1">
      <w:r>
        <w:separator/>
      </w:r>
    </w:p>
  </w:footnote>
  <w:footnote w:type="continuationSeparator" w:id="0">
    <w:p w:rsidR="00545468" w:rsidRDefault="00545468" w:rsidP="0079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9" w:rsidRDefault="007F7E7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9" w:rsidRDefault="007F7E7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9" w:rsidRDefault="007F7E7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452A"/>
    <w:multiLevelType w:val="hybridMultilevel"/>
    <w:tmpl w:val="1D42AE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81100A"/>
    <w:multiLevelType w:val="hybridMultilevel"/>
    <w:tmpl w:val="250473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9F0E7B"/>
    <w:multiLevelType w:val="hybridMultilevel"/>
    <w:tmpl w:val="64604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4E0C57"/>
    <w:multiLevelType w:val="hybridMultilevel"/>
    <w:tmpl w:val="9266C53C"/>
    <w:lvl w:ilvl="0" w:tplc="2B246D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E5545E"/>
    <w:multiLevelType w:val="hybridMultilevel"/>
    <w:tmpl w:val="CDA490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AC094D"/>
    <w:multiLevelType w:val="hybridMultilevel"/>
    <w:tmpl w:val="1AA44FE2"/>
    <w:lvl w:ilvl="0" w:tplc="C29C5046">
      <w:start w:val="1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BB"/>
    <w:rsid w:val="0000429B"/>
    <w:rsid w:val="0001184A"/>
    <w:rsid w:val="0002098F"/>
    <w:rsid w:val="00025084"/>
    <w:rsid w:val="00026971"/>
    <w:rsid w:val="0003294F"/>
    <w:rsid w:val="00035B55"/>
    <w:rsid w:val="00041351"/>
    <w:rsid w:val="00041660"/>
    <w:rsid w:val="00042E0D"/>
    <w:rsid w:val="000477BD"/>
    <w:rsid w:val="00052F53"/>
    <w:rsid w:val="000552AB"/>
    <w:rsid w:val="000579A1"/>
    <w:rsid w:val="00061690"/>
    <w:rsid w:val="00070FA7"/>
    <w:rsid w:val="0007313C"/>
    <w:rsid w:val="000733FA"/>
    <w:rsid w:val="000772FA"/>
    <w:rsid w:val="000828CC"/>
    <w:rsid w:val="0008709D"/>
    <w:rsid w:val="000902C6"/>
    <w:rsid w:val="00090A7C"/>
    <w:rsid w:val="00092387"/>
    <w:rsid w:val="00094457"/>
    <w:rsid w:val="000963DC"/>
    <w:rsid w:val="0009709E"/>
    <w:rsid w:val="000A3EBB"/>
    <w:rsid w:val="000A4CEF"/>
    <w:rsid w:val="000B3D61"/>
    <w:rsid w:val="000B73B9"/>
    <w:rsid w:val="000C40C7"/>
    <w:rsid w:val="000D72D1"/>
    <w:rsid w:val="000D7CBA"/>
    <w:rsid w:val="000E11F0"/>
    <w:rsid w:val="000F0F33"/>
    <w:rsid w:val="000F5835"/>
    <w:rsid w:val="0010016E"/>
    <w:rsid w:val="00105680"/>
    <w:rsid w:val="00121BB4"/>
    <w:rsid w:val="00131F65"/>
    <w:rsid w:val="00137F54"/>
    <w:rsid w:val="00150215"/>
    <w:rsid w:val="0015390C"/>
    <w:rsid w:val="00164673"/>
    <w:rsid w:val="0016786C"/>
    <w:rsid w:val="00173AFF"/>
    <w:rsid w:val="00176778"/>
    <w:rsid w:val="001901F7"/>
    <w:rsid w:val="00190F9D"/>
    <w:rsid w:val="001932C2"/>
    <w:rsid w:val="00196506"/>
    <w:rsid w:val="001A3664"/>
    <w:rsid w:val="001A5906"/>
    <w:rsid w:val="001C322D"/>
    <w:rsid w:val="001D19E9"/>
    <w:rsid w:val="001D6EDB"/>
    <w:rsid w:val="001D7CD1"/>
    <w:rsid w:val="001E2B02"/>
    <w:rsid w:val="001E395A"/>
    <w:rsid w:val="001E4FC9"/>
    <w:rsid w:val="001E5013"/>
    <w:rsid w:val="001F1522"/>
    <w:rsid w:val="00207ADE"/>
    <w:rsid w:val="0022232B"/>
    <w:rsid w:val="0022278C"/>
    <w:rsid w:val="00222A7C"/>
    <w:rsid w:val="0022571F"/>
    <w:rsid w:val="00230D1D"/>
    <w:rsid w:val="00240665"/>
    <w:rsid w:val="00251CA9"/>
    <w:rsid w:val="00252207"/>
    <w:rsid w:val="0025553A"/>
    <w:rsid w:val="00263846"/>
    <w:rsid w:val="00266227"/>
    <w:rsid w:val="0026660A"/>
    <w:rsid w:val="002716A9"/>
    <w:rsid w:val="00286148"/>
    <w:rsid w:val="00290264"/>
    <w:rsid w:val="00291470"/>
    <w:rsid w:val="002A3314"/>
    <w:rsid w:val="002A6514"/>
    <w:rsid w:val="002B2D4A"/>
    <w:rsid w:val="002B7A04"/>
    <w:rsid w:val="002C1A45"/>
    <w:rsid w:val="002C6BA0"/>
    <w:rsid w:val="002D296C"/>
    <w:rsid w:val="002D7AF0"/>
    <w:rsid w:val="002F0716"/>
    <w:rsid w:val="002F0961"/>
    <w:rsid w:val="002F131F"/>
    <w:rsid w:val="002F7C35"/>
    <w:rsid w:val="0030570E"/>
    <w:rsid w:val="00311833"/>
    <w:rsid w:val="003130AB"/>
    <w:rsid w:val="00314802"/>
    <w:rsid w:val="00315586"/>
    <w:rsid w:val="0032195D"/>
    <w:rsid w:val="00323B4C"/>
    <w:rsid w:val="00330D0E"/>
    <w:rsid w:val="00332BB9"/>
    <w:rsid w:val="00335DB7"/>
    <w:rsid w:val="00341245"/>
    <w:rsid w:val="00350BD0"/>
    <w:rsid w:val="00365739"/>
    <w:rsid w:val="00366033"/>
    <w:rsid w:val="00367CA4"/>
    <w:rsid w:val="00370106"/>
    <w:rsid w:val="0037311A"/>
    <w:rsid w:val="003805C3"/>
    <w:rsid w:val="003834A0"/>
    <w:rsid w:val="0038601A"/>
    <w:rsid w:val="003A1142"/>
    <w:rsid w:val="003A6D75"/>
    <w:rsid w:val="003B1B8C"/>
    <w:rsid w:val="003B20AF"/>
    <w:rsid w:val="003B3AE6"/>
    <w:rsid w:val="003B4FFD"/>
    <w:rsid w:val="003C2187"/>
    <w:rsid w:val="003C3E2B"/>
    <w:rsid w:val="003C4089"/>
    <w:rsid w:val="003C4181"/>
    <w:rsid w:val="003D0E39"/>
    <w:rsid w:val="003D67EB"/>
    <w:rsid w:val="003E387C"/>
    <w:rsid w:val="003F06EE"/>
    <w:rsid w:val="003F13BF"/>
    <w:rsid w:val="003F2B8F"/>
    <w:rsid w:val="00402F29"/>
    <w:rsid w:val="00407CA1"/>
    <w:rsid w:val="00411698"/>
    <w:rsid w:val="00413F67"/>
    <w:rsid w:val="004247AC"/>
    <w:rsid w:val="004268A6"/>
    <w:rsid w:val="004317D2"/>
    <w:rsid w:val="004328D3"/>
    <w:rsid w:val="00443026"/>
    <w:rsid w:val="00453F79"/>
    <w:rsid w:val="0045646B"/>
    <w:rsid w:val="00460A38"/>
    <w:rsid w:val="00461C1F"/>
    <w:rsid w:val="00462B31"/>
    <w:rsid w:val="00466B80"/>
    <w:rsid w:val="0047577D"/>
    <w:rsid w:val="00477691"/>
    <w:rsid w:val="0048274D"/>
    <w:rsid w:val="00492321"/>
    <w:rsid w:val="00495E37"/>
    <w:rsid w:val="004A1B29"/>
    <w:rsid w:val="004A21B1"/>
    <w:rsid w:val="004C7809"/>
    <w:rsid w:val="004D1E87"/>
    <w:rsid w:val="004E3161"/>
    <w:rsid w:val="004E7233"/>
    <w:rsid w:val="004E7D6E"/>
    <w:rsid w:val="004F3CC8"/>
    <w:rsid w:val="004F7282"/>
    <w:rsid w:val="00505061"/>
    <w:rsid w:val="0051363D"/>
    <w:rsid w:val="005159DF"/>
    <w:rsid w:val="005229E9"/>
    <w:rsid w:val="00525449"/>
    <w:rsid w:val="00530E89"/>
    <w:rsid w:val="00545468"/>
    <w:rsid w:val="00547550"/>
    <w:rsid w:val="0055019B"/>
    <w:rsid w:val="00550AE2"/>
    <w:rsid w:val="00553565"/>
    <w:rsid w:val="00553844"/>
    <w:rsid w:val="0055469C"/>
    <w:rsid w:val="005641BF"/>
    <w:rsid w:val="00566650"/>
    <w:rsid w:val="00573D9B"/>
    <w:rsid w:val="00575C26"/>
    <w:rsid w:val="00575EC6"/>
    <w:rsid w:val="00577463"/>
    <w:rsid w:val="00586A31"/>
    <w:rsid w:val="005968E6"/>
    <w:rsid w:val="005B09FE"/>
    <w:rsid w:val="005B5211"/>
    <w:rsid w:val="005C25EC"/>
    <w:rsid w:val="005C78C6"/>
    <w:rsid w:val="005D016A"/>
    <w:rsid w:val="005D45E5"/>
    <w:rsid w:val="005D6EC5"/>
    <w:rsid w:val="005E2FB9"/>
    <w:rsid w:val="005F33F9"/>
    <w:rsid w:val="005F5F6F"/>
    <w:rsid w:val="00604F0C"/>
    <w:rsid w:val="006159A1"/>
    <w:rsid w:val="00622F84"/>
    <w:rsid w:val="00625B10"/>
    <w:rsid w:val="00633016"/>
    <w:rsid w:val="00633C8D"/>
    <w:rsid w:val="0063462C"/>
    <w:rsid w:val="00636FC7"/>
    <w:rsid w:val="00637EDA"/>
    <w:rsid w:val="006401AD"/>
    <w:rsid w:val="0064277A"/>
    <w:rsid w:val="00646DDF"/>
    <w:rsid w:val="00660F81"/>
    <w:rsid w:val="00664992"/>
    <w:rsid w:val="00667010"/>
    <w:rsid w:val="006706F8"/>
    <w:rsid w:val="00673BAD"/>
    <w:rsid w:val="00680E38"/>
    <w:rsid w:val="00680FFB"/>
    <w:rsid w:val="006833BD"/>
    <w:rsid w:val="00685A41"/>
    <w:rsid w:val="00693B42"/>
    <w:rsid w:val="00694488"/>
    <w:rsid w:val="00696DD1"/>
    <w:rsid w:val="006A3290"/>
    <w:rsid w:val="006B2940"/>
    <w:rsid w:val="006C00D7"/>
    <w:rsid w:val="006C3760"/>
    <w:rsid w:val="006C4EB5"/>
    <w:rsid w:val="006C5457"/>
    <w:rsid w:val="006C7EC2"/>
    <w:rsid w:val="006D444D"/>
    <w:rsid w:val="006D6A89"/>
    <w:rsid w:val="006D72E3"/>
    <w:rsid w:val="006E696D"/>
    <w:rsid w:val="0070641F"/>
    <w:rsid w:val="007069EE"/>
    <w:rsid w:val="007168BB"/>
    <w:rsid w:val="0071711D"/>
    <w:rsid w:val="00736A50"/>
    <w:rsid w:val="007421F6"/>
    <w:rsid w:val="007428A4"/>
    <w:rsid w:val="00743FED"/>
    <w:rsid w:val="00746722"/>
    <w:rsid w:val="00752FE3"/>
    <w:rsid w:val="00753617"/>
    <w:rsid w:val="00754209"/>
    <w:rsid w:val="00757F9C"/>
    <w:rsid w:val="007706CA"/>
    <w:rsid w:val="00773DC9"/>
    <w:rsid w:val="00777F54"/>
    <w:rsid w:val="007913A4"/>
    <w:rsid w:val="007969C0"/>
    <w:rsid w:val="00797CD1"/>
    <w:rsid w:val="007B0571"/>
    <w:rsid w:val="007B1E8A"/>
    <w:rsid w:val="007B54C6"/>
    <w:rsid w:val="007D2EEC"/>
    <w:rsid w:val="007E716B"/>
    <w:rsid w:val="007F7E79"/>
    <w:rsid w:val="00802A1C"/>
    <w:rsid w:val="00802E83"/>
    <w:rsid w:val="00817B07"/>
    <w:rsid w:val="008267BE"/>
    <w:rsid w:val="0083047E"/>
    <w:rsid w:val="00841CF6"/>
    <w:rsid w:val="00844182"/>
    <w:rsid w:val="008461C0"/>
    <w:rsid w:val="008464C8"/>
    <w:rsid w:val="00846764"/>
    <w:rsid w:val="008471E8"/>
    <w:rsid w:val="00847942"/>
    <w:rsid w:val="00860511"/>
    <w:rsid w:val="0086518E"/>
    <w:rsid w:val="00865DF7"/>
    <w:rsid w:val="0088622E"/>
    <w:rsid w:val="00887B52"/>
    <w:rsid w:val="00897773"/>
    <w:rsid w:val="008A1D87"/>
    <w:rsid w:val="008A380A"/>
    <w:rsid w:val="008A4585"/>
    <w:rsid w:val="008A477C"/>
    <w:rsid w:val="008B1F83"/>
    <w:rsid w:val="008B281F"/>
    <w:rsid w:val="008C6264"/>
    <w:rsid w:val="008D226B"/>
    <w:rsid w:val="008D3A1E"/>
    <w:rsid w:val="008D43C0"/>
    <w:rsid w:val="008E06F0"/>
    <w:rsid w:val="008E6A04"/>
    <w:rsid w:val="008E70DE"/>
    <w:rsid w:val="008F35B8"/>
    <w:rsid w:val="008F38CC"/>
    <w:rsid w:val="008F6D35"/>
    <w:rsid w:val="00913384"/>
    <w:rsid w:val="00917254"/>
    <w:rsid w:val="0092579F"/>
    <w:rsid w:val="009307EB"/>
    <w:rsid w:val="00932F91"/>
    <w:rsid w:val="00936746"/>
    <w:rsid w:val="00940B7C"/>
    <w:rsid w:val="00962D7C"/>
    <w:rsid w:val="00966C96"/>
    <w:rsid w:val="00970ACF"/>
    <w:rsid w:val="00980DDB"/>
    <w:rsid w:val="0098583C"/>
    <w:rsid w:val="009B2064"/>
    <w:rsid w:val="009C29B6"/>
    <w:rsid w:val="009E6CB9"/>
    <w:rsid w:val="009F2055"/>
    <w:rsid w:val="009F20D6"/>
    <w:rsid w:val="009F6E55"/>
    <w:rsid w:val="009F7440"/>
    <w:rsid w:val="009F7B2B"/>
    <w:rsid w:val="00A11B87"/>
    <w:rsid w:val="00A16B1A"/>
    <w:rsid w:val="00A22D4B"/>
    <w:rsid w:val="00A30A51"/>
    <w:rsid w:val="00A3146B"/>
    <w:rsid w:val="00A31CFD"/>
    <w:rsid w:val="00A34652"/>
    <w:rsid w:val="00A36883"/>
    <w:rsid w:val="00A40258"/>
    <w:rsid w:val="00A42747"/>
    <w:rsid w:val="00A669B1"/>
    <w:rsid w:val="00A708D0"/>
    <w:rsid w:val="00A71644"/>
    <w:rsid w:val="00A800ED"/>
    <w:rsid w:val="00A8055E"/>
    <w:rsid w:val="00A85409"/>
    <w:rsid w:val="00A91BE8"/>
    <w:rsid w:val="00A95C1D"/>
    <w:rsid w:val="00AA1715"/>
    <w:rsid w:val="00AA22D0"/>
    <w:rsid w:val="00AA79F6"/>
    <w:rsid w:val="00AB49CF"/>
    <w:rsid w:val="00AB6DAD"/>
    <w:rsid w:val="00AC1455"/>
    <w:rsid w:val="00AC718B"/>
    <w:rsid w:val="00AC77B9"/>
    <w:rsid w:val="00AD1601"/>
    <w:rsid w:val="00AF361A"/>
    <w:rsid w:val="00AF4780"/>
    <w:rsid w:val="00B0160E"/>
    <w:rsid w:val="00B227EA"/>
    <w:rsid w:val="00B37023"/>
    <w:rsid w:val="00B417DE"/>
    <w:rsid w:val="00B443D9"/>
    <w:rsid w:val="00B50D0A"/>
    <w:rsid w:val="00B51ED0"/>
    <w:rsid w:val="00B547D2"/>
    <w:rsid w:val="00B655CD"/>
    <w:rsid w:val="00B72003"/>
    <w:rsid w:val="00B84A93"/>
    <w:rsid w:val="00B855C5"/>
    <w:rsid w:val="00B875A6"/>
    <w:rsid w:val="00B93374"/>
    <w:rsid w:val="00B95B4E"/>
    <w:rsid w:val="00B97FA3"/>
    <w:rsid w:val="00BA0558"/>
    <w:rsid w:val="00BA66B7"/>
    <w:rsid w:val="00BC0B3F"/>
    <w:rsid w:val="00BC13E7"/>
    <w:rsid w:val="00BC2269"/>
    <w:rsid w:val="00BC2A71"/>
    <w:rsid w:val="00BC4D2F"/>
    <w:rsid w:val="00BC709A"/>
    <w:rsid w:val="00BC71B7"/>
    <w:rsid w:val="00BD47C0"/>
    <w:rsid w:val="00BD7908"/>
    <w:rsid w:val="00C02CE0"/>
    <w:rsid w:val="00C03D3A"/>
    <w:rsid w:val="00C06A2B"/>
    <w:rsid w:val="00C14AAD"/>
    <w:rsid w:val="00C2624B"/>
    <w:rsid w:val="00C305D2"/>
    <w:rsid w:val="00C40976"/>
    <w:rsid w:val="00C4103B"/>
    <w:rsid w:val="00C45DE3"/>
    <w:rsid w:val="00C53D7D"/>
    <w:rsid w:val="00C570CF"/>
    <w:rsid w:val="00C7704B"/>
    <w:rsid w:val="00C8790D"/>
    <w:rsid w:val="00C90048"/>
    <w:rsid w:val="00C9259E"/>
    <w:rsid w:val="00CA2827"/>
    <w:rsid w:val="00CA704F"/>
    <w:rsid w:val="00CB25DD"/>
    <w:rsid w:val="00CB2E3A"/>
    <w:rsid w:val="00CB47DA"/>
    <w:rsid w:val="00CB5185"/>
    <w:rsid w:val="00CC4A65"/>
    <w:rsid w:val="00CC7E49"/>
    <w:rsid w:val="00CD381C"/>
    <w:rsid w:val="00CD3BB6"/>
    <w:rsid w:val="00CE03B6"/>
    <w:rsid w:val="00CE4E1E"/>
    <w:rsid w:val="00CE746B"/>
    <w:rsid w:val="00CF0F3B"/>
    <w:rsid w:val="00CF0F92"/>
    <w:rsid w:val="00CF13E8"/>
    <w:rsid w:val="00CF3AA1"/>
    <w:rsid w:val="00CF4D9A"/>
    <w:rsid w:val="00CF4DB1"/>
    <w:rsid w:val="00CF65D4"/>
    <w:rsid w:val="00CF7C6B"/>
    <w:rsid w:val="00D0157F"/>
    <w:rsid w:val="00D02FB6"/>
    <w:rsid w:val="00D13A26"/>
    <w:rsid w:val="00D245F4"/>
    <w:rsid w:val="00D360C7"/>
    <w:rsid w:val="00D363E5"/>
    <w:rsid w:val="00D41A9D"/>
    <w:rsid w:val="00D44596"/>
    <w:rsid w:val="00D50EA3"/>
    <w:rsid w:val="00D51A7B"/>
    <w:rsid w:val="00D6469F"/>
    <w:rsid w:val="00D7460C"/>
    <w:rsid w:val="00D81D47"/>
    <w:rsid w:val="00D822DA"/>
    <w:rsid w:val="00D82671"/>
    <w:rsid w:val="00D94A16"/>
    <w:rsid w:val="00DA19FA"/>
    <w:rsid w:val="00DA685D"/>
    <w:rsid w:val="00DC5AB5"/>
    <w:rsid w:val="00DC6036"/>
    <w:rsid w:val="00DE2011"/>
    <w:rsid w:val="00DE2B62"/>
    <w:rsid w:val="00DE2F28"/>
    <w:rsid w:val="00DE43AD"/>
    <w:rsid w:val="00DE72BB"/>
    <w:rsid w:val="00E00CAB"/>
    <w:rsid w:val="00E03CB0"/>
    <w:rsid w:val="00E06D6D"/>
    <w:rsid w:val="00E128EC"/>
    <w:rsid w:val="00E13D15"/>
    <w:rsid w:val="00E1777C"/>
    <w:rsid w:val="00E2495F"/>
    <w:rsid w:val="00E37431"/>
    <w:rsid w:val="00E44A0A"/>
    <w:rsid w:val="00E44F2F"/>
    <w:rsid w:val="00E46CF2"/>
    <w:rsid w:val="00E5331B"/>
    <w:rsid w:val="00E5494B"/>
    <w:rsid w:val="00E55170"/>
    <w:rsid w:val="00E62A28"/>
    <w:rsid w:val="00E73795"/>
    <w:rsid w:val="00E844CF"/>
    <w:rsid w:val="00E92A1F"/>
    <w:rsid w:val="00E933A5"/>
    <w:rsid w:val="00EA2B59"/>
    <w:rsid w:val="00EB0F16"/>
    <w:rsid w:val="00EB7F7C"/>
    <w:rsid w:val="00EC3F30"/>
    <w:rsid w:val="00ED0902"/>
    <w:rsid w:val="00ED3336"/>
    <w:rsid w:val="00EE3284"/>
    <w:rsid w:val="00EE4DF5"/>
    <w:rsid w:val="00EE6890"/>
    <w:rsid w:val="00F01BF6"/>
    <w:rsid w:val="00F0647B"/>
    <w:rsid w:val="00F068E5"/>
    <w:rsid w:val="00F06D3D"/>
    <w:rsid w:val="00F11C83"/>
    <w:rsid w:val="00F12C87"/>
    <w:rsid w:val="00F25BBA"/>
    <w:rsid w:val="00F26BDF"/>
    <w:rsid w:val="00F31262"/>
    <w:rsid w:val="00F3259C"/>
    <w:rsid w:val="00F457A0"/>
    <w:rsid w:val="00F55CBB"/>
    <w:rsid w:val="00F579A1"/>
    <w:rsid w:val="00F57E53"/>
    <w:rsid w:val="00F66B10"/>
    <w:rsid w:val="00F7447C"/>
    <w:rsid w:val="00F74D37"/>
    <w:rsid w:val="00F916F8"/>
    <w:rsid w:val="00F92C69"/>
    <w:rsid w:val="00F9538F"/>
    <w:rsid w:val="00FA1F91"/>
    <w:rsid w:val="00FB292C"/>
    <w:rsid w:val="00FB7EA8"/>
    <w:rsid w:val="00FC1FD0"/>
    <w:rsid w:val="00FC2FCB"/>
    <w:rsid w:val="00FD0D2B"/>
    <w:rsid w:val="00FD306F"/>
    <w:rsid w:val="00FD6A94"/>
    <w:rsid w:val="00FD731E"/>
    <w:rsid w:val="00FE4935"/>
    <w:rsid w:val="00FE530A"/>
    <w:rsid w:val="00FE5B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1430AE-38DE-430B-ABCE-6DB6AFC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E72BB"/>
    <w:pPr>
      <w:autoSpaceDE w:val="0"/>
      <w:autoSpaceDN w:val="0"/>
      <w:adjustRightInd w:val="0"/>
    </w:pPr>
    <w:rPr>
      <w:color w:val="000000"/>
      <w:sz w:val="24"/>
      <w:szCs w:val="24"/>
    </w:rPr>
  </w:style>
  <w:style w:type="paragraph" w:styleId="Listeavsnitt">
    <w:name w:val="List Paragraph"/>
    <w:basedOn w:val="Normal"/>
    <w:uiPriority w:val="34"/>
    <w:qFormat/>
    <w:rsid w:val="00966C96"/>
    <w:pPr>
      <w:ind w:left="720"/>
      <w:contextualSpacing/>
    </w:pPr>
  </w:style>
  <w:style w:type="table" w:styleId="Tabellrutenett">
    <w:name w:val="Table Grid"/>
    <w:basedOn w:val="Vanligtabell"/>
    <w:uiPriority w:val="59"/>
    <w:rsid w:val="000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797CD1"/>
    <w:pPr>
      <w:tabs>
        <w:tab w:val="center" w:pos="4536"/>
        <w:tab w:val="right" w:pos="9072"/>
      </w:tabs>
    </w:pPr>
  </w:style>
  <w:style w:type="character" w:customStyle="1" w:styleId="TopptekstTegn">
    <w:name w:val="Topptekst Tegn"/>
    <w:basedOn w:val="Standardskriftforavsnitt"/>
    <w:link w:val="Topptekst"/>
    <w:uiPriority w:val="99"/>
    <w:rsid w:val="00797CD1"/>
    <w:rPr>
      <w:sz w:val="24"/>
      <w:szCs w:val="24"/>
      <w:lang w:val="en-US" w:eastAsia="en-US"/>
    </w:rPr>
  </w:style>
  <w:style w:type="paragraph" w:styleId="Bunntekst">
    <w:name w:val="footer"/>
    <w:basedOn w:val="Normal"/>
    <w:link w:val="BunntekstTegn"/>
    <w:uiPriority w:val="99"/>
    <w:unhideWhenUsed/>
    <w:rsid w:val="00797CD1"/>
    <w:pPr>
      <w:tabs>
        <w:tab w:val="center" w:pos="4536"/>
        <w:tab w:val="right" w:pos="9072"/>
      </w:tabs>
    </w:pPr>
  </w:style>
  <w:style w:type="character" w:customStyle="1" w:styleId="BunntekstTegn">
    <w:name w:val="Bunntekst Tegn"/>
    <w:basedOn w:val="Standardskriftforavsnitt"/>
    <w:link w:val="Bunntekst"/>
    <w:uiPriority w:val="99"/>
    <w:rsid w:val="00797CD1"/>
    <w:rPr>
      <w:sz w:val="24"/>
      <w:szCs w:val="24"/>
      <w:lang w:val="en-US" w:eastAsia="en-US"/>
    </w:rPr>
  </w:style>
  <w:style w:type="paragraph" w:styleId="Bobletekst">
    <w:name w:val="Balloon Text"/>
    <w:basedOn w:val="Normal"/>
    <w:link w:val="BobletekstTegn"/>
    <w:uiPriority w:val="99"/>
    <w:semiHidden/>
    <w:unhideWhenUsed/>
    <w:rsid w:val="00797CD1"/>
    <w:rPr>
      <w:rFonts w:ascii="Tahoma" w:hAnsi="Tahoma" w:cs="Tahoma"/>
      <w:sz w:val="16"/>
      <w:szCs w:val="16"/>
    </w:rPr>
  </w:style>
  <w:style w:type="character" w:customStyle="1" w:styleId="BobletekstTegn">
    <w:name w:val="Bobletekst Tegn"/>
    <w:basedOn w:val="Standardskriftforavsnitt"/>
    <w:link w:val="Bobletekst"/>
    <w:uiPriority w:val="99"/>
    <w:semiHidden/>
    <w:rsid w:val="00797CD1"/>
    <w:rPr>
      <w:rFonts w:ascii="Tahoma" w:hAnsi="Tahoma" w:cs="Tahoma"/>
      <w:sz w:val="16"/>
      <w:szCs w:val="16"/>
      <w:lang w:val="en-US" w:eastAsia="en-US"/>
    </w:rPr>
  </w:style>
  <w:style w:type="paragraph" w:customStyle="1" w:styleId="Hode">
    <w:name w:val="Hode"/>
    <w:rsid w:val="006E696D"/>
    <w:rPr>
      <w:noProof/>
      <w:sz w:val="24"/>
    </w:rPr>
  </w:style>
  <w:style w:type="character" w:styleId="Sterk">
    <w:name w:val="Strong"/>
    <w:basedOn w:val="Standardskriftforavsnitt"/>
    <w:qFormat/>
    <w:rsid w:val="006E696D"/>
    <w:rPr>
      <w:b/>
      <w:bCs/>
    </w:rPr>
  </w:style>
  <w:style w:type="character" w:styleId="Hyperkobling">
    <w:name w:val="Hyperlink"/>
    <w:basedOn w:val="Standardskriftforavsnitt"/>
    <w:uiPriority w:val="99"/>
    <w:unhideWhenUsed/>
    <w:rsid w:val="00A80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3.16%20Vedlikehold%20Vedlegg%20tabell%20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1CFC-40FD-48CF-B4D2-63EE5344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11893</Characters>
  <Application>Microsoft Office Word</Application>
  <DocSecurity>0</DocSecurity>
  <Lines>99</Lines>
  <Paragraphs>27</Paragraphs>
  <ScaleCrop>false</ScaleCrop>
  <HeadingPairs>
    <vt:vector size="2" baseType="variant">
      <vt:variant>
        <vt:lpstr>Tittel</vt:lpstr>
      </vt:variant>
      <vt:variant>
        <vt:i4>1</vt:i4>
      </vt:variant>
    </vt:vector>
  </HeadingPairs>
  <TitlesOfParts>
    <vt:vector size="1" baseType="lpstr">
      <vt:lpstr>UTKAST 12.02.2014</vt:lpstr>
    </vt:vector>
  </TitlesOfParts>
  <Company>NTNU</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12.02.2014</dc:title>
  <dc:creator>Tone Merethe Aasen</dc:creator>
  <cp:lastModifiedBy>Beate Knarbakk Reinertsen</cp:lastModifiedBy>
  <cp:revision>5</cp:revision>
  <cp:lastPrinted>2014-11-17T10:34:00Z</cp:lastPrinted>
  <dcterms:created xsi:type="dcterms:W3CDTF">2016-01-12T15:10:00Z</dcterms:created>
  <dcterms:modified xsi:type="dcterms:W3CDTF">2016-01-20T06:05:00Z</dcterms:modified>
</cp:coreProperties>
</file>