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00" w:rsidRDefault="00C83800" w:rsidP="007B0A0F">
      <w:pPr>
        <w:pStyle w:val="Overskrift1"/>
        <w:spacing w:before="0" w:line="240" w:lineRule="auto"/>
        <w:contextualSpacing/>
        <w:rPr>
          <w:rFonts w:asciiTheme="minorHAnsi" w:hAnsiTheme="minorHAnsi"/>
          <w:b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color w:val="auto"/>
        </w:rPr>
        <w:t>Tabell Del A</w:t>
      </w:r>
    </w:p>
    <w:p w:rsidR="00C83800" w:rsidRPr="00C83800" w:rsidRDefault="00C83800" w:rsidP="007B0A0F">
      <w:pPr>
        <w:keepNext/>
        <w:keepLines/>
        <w:spacing w:after="0" w:line="240" w:lineRule="auto"/>
        <w:contextualSpacing/>
      </w:pPr>
    </w:p>
    <w:tbl>
      <w:tblPr>
        <w:tblpPr w:leftFromText="141" w:rightFromText="141" w:vertAnchor="page" w:horzAnchor="margin" w:tblpXSpec="center" w:tblpY="400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232"/>
      </w:tblGrid>
      <w:tr w:rsidR="00781080" w:rsidRPr="00781080" w:rsidTr="007B0A0F">
        <w:trPr>
          <w:trHeight w:val="70"/>
        </w:trPr>
        <w:tc>
          <w:tcPr>
            <w:tcW w:w="1760" w:type="dxa"/>
            <w:shd w:val="clear" w:color="auto" w:fill="B3B3B3"/>
          </w:tcPr>
          <w:p w:rsidR="00781080" w:rsidRPr="00781080" w:rsidRDefault="00781080" w:rsidP="007B0A0F">
            <w:pPr>
              <w:keepNext/>
              <w:keepLines/>
              <w:spacing w:after="0" w:line="240" w:lineRule="auto"/>
              <w:contextualSpacing/>
              <w:rPr>
                <w:i/>
              </w:rPr>
            </w:pPr>
            <w:r w:rsidRPr="00781080">
              <w:rPr>
                <w:i/>
              </w:rPr>
              <w:t>Fakultet</w:t>
            </w:r>
          </w:p>
        </w:tc>
        <w:tc>
          <w:tcPr>
            <w:tcW w:w="13232" w:type="dxa"/>
            <w:shd w:val="clear" w:color="auto" w:fill="B3B3B3"/>
          </w:tcPr>
          <w:p w:rsidR="00781080" w:rsidRPr="00781080" w:rsidRDefault="00781080" w:rsidP="007B0A0F">
            <w:pPr>
              <w:keepNext/>
              <w:keepLines/>
              <w:spacing w:after="0" w:line="240" w:lineRule="auto"/>
              <w:contextualSpacing/>
            </w:pPr>
            <w:r w:rsidRPr="00781080">
              <w:t>-Kort oppsummering av fakultetets helhetlige vurdering av den langsiktige utviklingen i fakultetets samlede studietilbudsportefølje</w:t>
            </w:r>
          </w:p>
        </w:tc>
      </w:tr>
      <w:tr w:rsidR="00781080" w:rsidRPr="00781080" w:rsidTr="00E21150">
        <w:trPr>
          <w:trHeight w:val="70"/>
        </w:trPr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AB</w:t>
            </w:r>
          </w:p>
        </w:tc>
        <w:tc>
          <w:tcPr>
            <w:tcW w:w="13232" w:type="dxa"/>
            <w:shd w:val="clear" w:color="auto" w:fill="auto"/>
          </w:tcPr>
          <w:p w:rsidR="00781080" w:rsidRPr="00781080" w:rsidRDefault="0069093D" w:rsidP="00C83800">
            <w:pPr>
              <w:pStyle w:val="Listeavsnitt"/>
              <w:keepNext/>
              <w:keepLines/>
              <w:widowControl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AB-fakultetet vil i sitt langsiktige arbeid</w:t>
            </w:r>
            <w:r w:rsidR="00781080" w:rsidRPr="00781080">
              <w:rPr>
                <w:rFonts w:asciiTheme="minorHAnsi" w:hAnsiTheme="minorHAnsi"/>
              </w:rPr>
              <w:t xml:space="preserve"> ved oppbyggingen av robuste studier og fagmiljø legge vekt på mer enn faren for at undervisningen faller sammen om en faglærer skulle falle fra. </w:t>
            </w:r>
          </w:p>
          <w:p w:rsidR="00781080" w:rsidRPr="00781080" w:rsidRDefault="00781080" w:rsidP="00C83800">
            <w:pPr>
              <w:pStyle w:val="Listeavsnitt"/>
              <w:keepNext/>
              <w:keepLines/>
              <w:widowControl w:val="0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781080" w:rsidRPr="00781080" w:rsidRDefault="00781080" w:rsidP="00C83800">
            <w:pPr>
              <w:pStyle w:val="Listeavsnitt"/>
              <w:keepNext/>
              <w:keepLines/>
              <w:widowControl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>Et mål er å bygge opp brede generiske program som gir kompetanse og innsikt som utvikles heller enn erstattes gjennom de</w:t>
            </w:r>
            <w:r w:rsidR="0069093D">
              <w:rPr>
                <w:rFonts w:asciiTheme="minorHAnsi" w:hAnsiTheme="minorHAnsi"/>
              </w:rPr>
              <w:t>t som kalles livslang læring. AB-fakultetet</w:t>
            </w:r>
            <w:r w:rsidRPr="00781080">
              <w:rPr>
                <w:rFonts w:asciiTheme="minorHAnsi" w:hAnsiTheme="minorHAnsi"/>
              </w:rPr>
              <w:t xml:space="preserve"> ønsker program brede nok til å muliggjøre forsøk, læring og en dynamisk utvikling uten at for trange rammer blir til hinder for en slik utvikling. </w:t>
            </w:r>
            <w:r w:rsidR="0069093D">
              <w:rPr>
                <w:rFonts w:asciiTheme="minorHAnsi" w:hAnsiTheme="minorHAnsi"/>
              </w:rPr>
              <w:t>De</w:t>
            </w:r>
            <w:r w:rsidRPr="00781080">
              <w:rPr>
                <w:rFonts w:asciiTheme="minorHAnsi" w:hAnsiTheme="minorHAnsi"/>
              </w:rPr>
              <w:t xml:space="preserve"> ønsker</w:t>
            </w:r>
            <w:r w:rsidR="0069093D">
              <w:rPr>
                <w:rFonts w:asciiTheme="minorHAnsi" w:hAnsiTheme="minorHAnsi"/>
              </w:rPr>
              <w:t xml:space="preserve"> videre</w:t>
            </w:r>
            <w:r w:rsidRPr="00781080">
              <w:rPr>
                <w:rFonts w:asciiTheme="minorHAnsi" w:hAnsiTheme="minorHAnsi"/>
              </w:rPr>
              <w:t xml:space="preserve"> program som er brede nok til å gi rom for en bred faglig dialog og et aktiv medansvar for og innflytelse på programmets utvikling.</w:t>
            </w: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For å skape et grun</w:t>
            </w:r>
            <w:r w:rsidR="0069093D">
              <w:rPr>
                <w:rFonts w:cs="Times New Roman"/>
              </w:rPr>
              <w:t>nlag for en slik utvikling har AB-fakultetet</w:t>
            </w:r>
            <w:r w:rsidRPr="00781080">
              <w:rPr>
                <w:rFonts w:cs="Times New Roman"/>
              </w:rPr>
              <w:t xml:space="preserve"> bedt alle programmene om å etablere egne programstrategier. Mens kvalitetsmeldingene i hovedsak</w:t>
            </w:r>
            <w:r w:rsidR="0069093D">
              <w:rPr>
                <w:rFonts w:cs="Times New Roman"/>
              </w:rPr>
              <w:t xml:space="preserve"> fokuserer på å forbedre det som blir gjort</w:t>
            </w:r>
            <w:r w:rsidRPr="00781080">
              <w:rPr>
                <w:rFonts w:cs="Times New Roman"/>
              </w:rPr>
              <w:t xml:space="preserve"> i dag, skal en med programstrategien redegjøre for hvordan programmet tar del i og bidrar til fakultetets faglig-strategiske utvikling. </w:t>
            </w:r>
          </w:p>
          <w:p w:rsidR="00781080" w:rsidRPr="00781080" w:rsidRDefault="0069093D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AB-fakultetet har vedlagt de planene de</w:t>
            </w:r>
            <w:r w:rsidR="00781080" w:rsidRPr="00781080">
              <w:rPr>
                <w:rFonts w:cs="Times New Roman"/>
              </w:rPr>
              <w:t xml:space="preserve"> har mottatt i 2015</w:t>
            </w: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Disse p</w:t>
            </w:r>
            <w:r w:rsidR="0069093D">
              <w:rPr>
                <w:rFonts w:cs="Times New Roman"/>
              </w:rPr>
              <w:t>lanene må så samordnes med fakultetets forskningsstrategier. AB-fakultetets</w:t>
            </w:r>
            <w:r w:rsidRPr="00781080">
              <w:rPr>
                <w:rFonts w:cs="Times New Roman"/>
              </w:rPr>
              <w:t xml:space="preserve"> </w:t>
            </w:r>
            <w:proofErr w:type="spellStart"/>
            <w:r w:rsidRPr="00781080">
              <w:rPr>
                <w:rFonts w:cs="Times New Roman"/>
              </w:rPr>
              <w:t>hovedbidra</w:t>
            </w:r>
            <w:r w:rsidR="0069093D">
              <w:rPr>
                <w:rFonts w:cs="Times New Roman"/>
              </w:rPr>
              <w:t>g</w:t>
            </w:r>
            <w:proofErr w:type="spellEnd"/>
            <w:r w:rsidR="0069093D">
              <w:rPr>
                <w:rFonts w:cs="Times New Roman"/>
              </w:rPr>
              <w:t xml:space="preserve"> til samfunnet er gjennom uteksaminerte studenter. Disse skal </w:t>
            </w:r>
            <w:r w:rsidRPr="00781080">
              <w:rPr>
                <w:rFonts w:cs="Times New Roman"/>
              </w:rPr>
              <w:t>gjennom e</w:t>
            </w:r>
            <w:r w:rsidR="0069093D">
              <w:rPr>
                <w:rFonts w:cs="Times New Roman"/>
              </w:rPr>
              <w:t>t langt yrkesliv</w:t>
            </w:r>
            <w:r w:rsidRPr="00781080">
              <w:rPr>
                <w:rFonts w:cs="Times New Roman"/>
              </w:rPr>
              <w:t xml:space="preserve"> bidra som godt kvalifiserte samfunnsborgere og fagfolk. Forskningen skal bidra til dette og kan derfor i</w:t>
            </w:r>
            <w:r w:rsidR="0069093D">
              <w:rPr>
                <w:rFonts w:cs="Times New Roman"/>
              </w:rPr>
              <w:t>kke selv sette dagsorden for AB-fakultetets</w:t>
            </w:r>
            <w:r w:rsidRPr="00781080">
              <w:rPr>
                <w:rFonts w:cs="Times New Roman"/>
              </w:rPr>
              <w:t xml:space="preserve"> faglig-strategiske utvikling. Denne må også være basert i utdanningens behov og ikke bare i dagsaktuelle forskningsoppgaver.</w:t>
            </w: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Disse planene vil så danne grunnlaget for en diskusjon av og evt. utvikling av mer generiske program. Et første steg vil være å sikre at basisutdanningen gir en god </w:t>
            </w:r>
            <w:proofErr w:type="spellStart"/>
            <w:r w:rsidRPr="00781080">
              <w:rPr>
                <w:rFonts w:cs="Times New Roman"/>
              </w:rPr>
              <w:t>allmen</w:t>
            </w:r>
            <w:proofErr w:type="spellEnd"/>
            <w:r w:rsidRPr="00781080">
              <w:rPr>
                <w:rFonts w:cs="Times New Roman"/>
              </w:rPr>
              <w:t xml:space="preserve"> basis for videre studier. Dette er ett av spørsmålene som blir behandlet som del av den pågående evalueringen av masterstudiene i arkitektur og i «</w:t>
            </w:r>
            <w:proofErr w:type="spellStart"/>
            <w:r w:rsidRPr="00781080">
              <w:rPr>
                <w:rFonts w:cs="Times New Roman"/>
              </w:rPr>
              <w:t>Sustainable</w:t>
            </w:r>
            <w:proofErr w:type="spellEnd"/>
            <w:r w:rsidRPr="00781080">
              <w:rPr>
                <w:rFonts w:cs="Times New Roman"/>
              </w:rPr>
              <w:t xml:space="preserve"> Architecture». Det er også grunnlaget for forslaget om å etablere et 5-årig masterprogram i fysisk planlegging.</w:t>
            </w: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69093D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Basert på dette vil AB-fakultetet</w:t>
            </w:r>
            <w:r w:rsidR="00781080" w:rsidRPr="00781080">
              <w:rPr>
                <w:rFonts w:cs="Times New Roman"/>
              </w:rPr>
              <w:t xml:space="preserve"> på et mer dynamisk grunnlag kunne utvikle oppgave/yrkesrelaterte fordypninger. Disse vil skape bedre grobunn for samarbeidsprosjekt mellom programmene. </w:t>
            </w:r>
          </w:p>
          <w:p w:rsidR="00781080" w:rsidRPr="00781080" w:rsidRDefault="00781080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69093D" w:rsidP="00C83800">
            <w:pPr>
              <w:keepNext/>
              <w:keepLines/>
              <w:widowControl w:val="0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AB-fakultetet</w:t>
            </w:r>
            <w:r w:rsidR="00781080" w:rsidRPr="00781080">
              <w:rPr>
                <w:rFonts w:cs="Times New Roman"/>
              </w:rPr>
              <w:t xml:space="preserve"> er ennå usikre på hvordan disse fordypningene skal knyttes til / gis spesifikke gradsbenevnelser. Dette har sammenheng med de rettigheter som er kny</w:t>
            </w:r>
            <w:r>
              <w:rPr>
                <w:rFonts w:cs="Times New Roman"/>
              </w:rPr>
              <w:t>ttet til enkelte grader, hos AB-fakultetet</w:t>
            </w:r>
            <w:r w:rsidR="00781080" w:rsidRPr="00781080">
              <w:rPr>
                <w:rFonts w:cs="Times New Roman"/>
              </w:rPr>
              <w:t xml:space="preserve"> spesielt Master i </w:t>
            </w:r>
            <w:r w:rsidRPr="00781080">
              <w:rPr>
                <w:rFonts w:cs="Times New Roman"/>
              </w:rPr>
              <w:t>arkitektur: studenter</w:t>
            </w:r>
            <w:r w:rsidR="00781080" w:rsidRPr="00781080">
              <w:rPr>
                <w:rFonts w:cs="Times New Roman"/>
              </w:rPr>
              <w:t xml:space="preserve"> med denne graden oppnår spesielle rettigheter i yrkeslivet.  Dette stiller egne krav til forvaltningen av graden – kriterier, prosedyre, beslutning, </w:t>
            </w:r>
            <w:r>
              <w:rPr>
                <w:rFonts w:cs="Times New Roman"/>
              </w:rPr>
              <w:t>myndighet o.l.</w:t>
            </w:r>
            <w:r w:rsidR="00781080" w:rsidRPr="00781080">
              <w:rPr>
                <w:rFonts w:cs="Times New Roman"/>
              </w:rPr>
              <w:t xml:space="preserve"> </w:t>
            </w:r>
          </w:p>
          <w:p w:rsidR="00781080" w:rsidRPr="00781080" w:rsidRDefault="00781080" w:rsidP="00D235D8">
            <w:pPr>
              <w:keepNext/>
              <w:keepLines/>
              <w:widowControl w:val="0"/>
              <w:spacing w:line="240" w:lineRule="auto"/>
              <w:contextualSpacing/>
            </w:pPr>
          </w:p>
        </w:tc>
      </w:tr>
      <w:tr w:rsidR="00781080" w:rsidRPr="00781080" w:rsidTr="00E21150">
        <w:trPr>
          <w:trHeight w:val="309"/>
        </w:trPr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lastRenderedPageBreak/>
              <w:t>DMF</w:t>
            </w:r>
          </w:p>
        </w:tc>
        <w:tc>
          <w:tcPr>
            <w:tcW w:w="13232" w:type="dxa"/>
            <w:shd w:val="clear" w:color="auto" w:fill="auto"/>
          </w:tcPr>
          <w:p w:rsidR="00781080" w:rsidRDefault="0078108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  <w:r w:rsidRPr="00781080">
              <w:rPr>
                <w:rFonts w:cs="Times New Roman"/>
              </w:rPr>
              <w:t>DMFs studieprogram har gjennomgående høy kvalitet og relevans, sø</w:t>
            </w:r>
            <w:r w:rsidR="00D235D8">
              <w:rPr>
                <w:rFonts w:cs="Times New Roman"/>
              </w:rPr>
              <w:t xml:space="preserve">kertallene er gode til alle tilbud, og fakultetet </w:t>
            </w:r>
            <w:r w:rsidRPr="00781080">
              <w:rPr>
                <w:rFonts w:cs="Times New Roman"/>
              </w:rPr>
              <w:t xml:space="preserve">har relativt lavt frafall. </w:t>
            </w:r>
          </w:p>
          <w:p w:rsidR="00C83800" w:rsidRPr="00781080" w:rsidRDefault="00C8380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</w:p>
          <w:p w:rsidR="00781080" w:rsidRDefault="0078108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  <w:r w:rsidRPr="00781080">
              <w:rPr>
                <w:rFonts w:cs="Times New Roman"/>
              </w:rPr>
              <w:t>Profesjonsstudiet i medisin er fakultetets største studiepro</w:t>
            </w:r>
            <w:r w:rsidR="00D235D8">
              <w:rPr>
                <w:rFonts w:cs="Times New Roman"/>
              </w:rPr>
              <w:t>gram. I de kommende årene vil DMF</w:t>
            </w:r>
            <w:r w:rsidRPr="00781080">
              <w:rPr>
                <w:rFonts w:cs="Times New Roman"/>
              </w:rPr>
              <w:t xml:space="preserve"> videreutvikle dette studieprogrammet for å svare på nye behov innenfor sektoren. Det kan dessuten bli aktuelt med en økning i opptaksrammen. </w:t>
            </w:r>
          </w:p>
          <w:p w:rsidR="00C83800" w:rsidRPr="00781080" w:rsidRDefault="00C8380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</w:p>
          <w:p w:rsidR="00781080" w:rsidRDefault="0078108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  <w:r w:rsidRPr="00781080">
              <w:rPr>
                <w:rFonts w:cs="Times New Roman"/>
              </w:rPr>
              <w:t>DMF har i løpet av en tiårsperiode bygd opp flere masterprogram, som i hovedsak har høy samfunns- og arbeidslivsrelevans. Det foreligger ikke konkrete forslag om nye masterpr</w:t>
            </w:r>
            <w:r w:rsidR="00D235D8">
              <w:rPr>
                <w:rFonts w:cs="Times New Roman"/>
              </w:rPr>
              <w:t>ogram i nærmeste fremtid, men fakultetet</w:t>
            </w:r>
            <w:r w:rsidRPr="00781080">
              <w:rPr>
                <w:rFonts w:cs="Times New Roman"/>
              </w:rPr>
              <w:t xml:space="preserve"> vil bruke de nærmeste par årene på å vurdere om dagens portefølje er hensiktsmessig organisert. Det kan bli a</w:t>
            </w:r>
            <w:r w:rsidR="00D235D8">
              <w:rPr>
                <w:rFonts w:cs="Times New Roman"/>
              </w:rPr>
              <w:t>ktuelt med sammenslåinger, og DMF</w:t>
            </w:r>
            <w:r w:rsidRPr="00781080">
              <w:rPr>
                <w:rFonts w:cs="Times New Roman"/>
              </w:rPr>
              <w:t xml:space="preserve"> vil også vurdere om noen av dagens 2-årige masterprogram isteden bør tilbys som er</w:t>
            </w:r>
            <w:r w:rsidR="00D235D8">
              <w:rPr>
                <w:rFonts w:cs="Times New Roman"/>
              </w:rPr>
              <w:t>faringsbaserte masterprogram. Fakultetet</w:t>
            </w:r>
            <w:r w:rsidRPr="00781080">
              <w:rPr>
                <w:rFonts w:cs="Times New Roman"/>
              </w:rPr>
              <w:t xml:space="preserve"> vil dessuten måtte se på konsekvensene for masterporteføljen med tanke på den kommende fusjonen. </w:t>
            </w:r>
          </w:p>
          <w:p w:rsidR="00C83800" w:rsidRPr="00781080" w:rsidRDefault="00C83800" w:rsidP="00C83800">
            <w:pPr>
              <w:tabs>
                <w:tab w:val="left" w:pos="8448"/>
              </w:tabs>
              <w:spacing w:line="240" w:lineRule="auto"/>
              <w:contextualSpacing/>
              <w:jc w:val="both"/>
              <w:rPr>
                <w:rFonts w:cs="Times New Roman"/>
              </w:rPr>
            </w:pPr>
          </w:p>
          <w:p w:rsidR="00781080" w:rsidRPr="00781080" w:rsidRDefault="00781080" w:rsidP="00C83800">
            <w:pPr>
              <w:tabs>
                <w:tab w:val="left" w:pos="8448"/>
              </w:tabs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Mye av veksten ved DMF vil trolig komme innenfor etter- og videreutdanning. Her er det et stort uutnyttet potensial for flere tilbud rettet mot helse- og velferdstjenestene og helserelatert næringsliv og forvaltning. Fakultetet vil derfor </w:t>
            </w:r>
            <w:r w:rsidR="00D235D8">
              <w:rPr>
                <w:rFonts w:cs="Times New Roman"/>
              </w:rPr>
              <w:t>ha fokus på dette området, og</w:t>
            </w:r>
            <w:r w:rsidRPr="00781080">
              <w:rPr>
                <w:rFonts w:cs="Times New Roman"/>
              </w:rPr>
              <w:t xml:space="preserve"> vil utarbeide en lokal handlingsplan for EVU.</w:t>
            </w:r>
          </w:p>
          <w:p w:rsidR="00781080" w:rsidRPr="00781080" w:rsidRDefault="00781080" w:rsidP="00C83800">
            <w:pPr>
              <w:tabs>
                <w:tab w:val="left" w:pos="8448"/>
              </w:tabs>
              <w:spacing w:line="240" w:lineRule="auto"/>
              <w:contextualSpacing/>
            </w:pPr>
          </w:p>
        </w:tc>
      </w:tr>
      <w:tr w:rsidR="00781080" w:rsidRPr="00781080" w:rsidTr="00E21150"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HF</w:t>
            </w:r>
          </w:p>
        </w:tc>
        <w:tc>
          <w:tcPr>
            <w:tcW w:w="13232" w:type="dxa"/>
            <w:shd w:val="clear" w:color="auto" w:fill="auto"/>
          </w:tcPr>
          <w:p w:rsidR="00781080" w:rsidRPr="00781080" w:rsidRDefault="00781080" w:rsidP="0095626F">
            <w:pPr>
              <w:spacing w:line="240" w:lineRule="auto"/>
              <w:contextualSpacing/>
            </w:pPr>
            <w:r w:rsidRPr="00781080">
              <w:rPr>
                <w:rFonts w:cs="Times New Roman"/>
                <w:b/>
              </w:rPr>
              <w:t xml:space="preserve">Utviklingen av studieprogramporteføljen ved HF for 2016/2017 og langsiktig utviklingsplan fremover mot 2020 </w:t>
            </w:r>
            <w:r w:rsidRPr="00781080">
              <w:t xml:space="preserve">Innenfor utdanning og læringsmiljø er målsettingen å styrke kvaliteten i utdanningen gjennom følgende hovedprioriteringer: 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>Utvikle en mer robust studieportefølje med tydelig profil (jfr. NTNUs hovedprioritering fremtidsrettede studier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>Bedre profilering (jfr. NTNUs virksomhetsområde formidling og kommunikasjon)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 xml:space="preserve">Økt arbeidslivsrelevans i studiene 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 xml:space="preserve">Økt satsing på etter- og videreutdanning 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>Benytte muligheter for SAK-samarbeid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 xml:space="preserve">Utvikle og ta i bruk nye lærings- og vurderingsformer (jfr. NTNUs hovedprioritering innovative læringsformer) </w:t>
            </w:r>
          </w:p>
          <w:p w:rsidR="00781080" w:rsidRPr="00781080" w:rsidRDefault="00781080" w:rsidP="00C83800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781080">
              <w:rPr>
                <w:rFonts w:asciiTheme="minorHAnsi" w:hAnsiTheme="minorHAnsi"/>
              </w:rPr>
              <w:t>Tettere oppfølging av studentene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>Utviklingstrekk i eksisterende studieprogramportefølje og fremover mot 2020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>Oppfølging av studenter og rekruttering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Tettere oppfølging av studentene er en viktig prioritering. Målsettingen med tettere oppfølging av studentene er å øke kvaliteten i utdanningen samt redusere frafallet og bedre gjennomstrømningen. Tettere oppfølging av studentene skal også skje gjennom bedre sammenhenger i studieprogrammene og mer varierte læringsarenaer og læringsformer som gir gode overganger mellom gradsnivåene og fra utdanning til arbeidsliv. Med utgangspunkt i fakultetets strategi og hovedprioriteringer for 2015 og fremover, jobber instituttene med planer for oppfølging av studenter og rekruttering som et ledd i å bedre profileringen av fagtilbudene og å styrke kvaliteten på studiene. I tillegg er dette et sentralt virkemiddel </w:t>
            </w:r>
            <w:r w:rsidR="000060C9">
              <w:rPr>
                <w:rFonts w:cs="Times New Roman"/>
              </w:rPr>
              <w:t xml:space="preserve">for å sikre inntektsgrunnlaget. </w:t>
            </w:r>
          </w:p>
          <w:p w:rsidR="00C83800" w:rsidRDefault="00C8380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B0A0F" w:rsidRDefault="007B0A0F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B0A0F" w:rsidRPr="00781080" w:rsidRDefault="007B0A0F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C83800" w:rsidRP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 xml:space="preserve">Arbeidslivsrelasjoner 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HF har et uttalt mål om å styrke samarbeidet med arbeidslivet og relevante samfunnsaktører og har i 2014 og 2015 jobbet systematisk med styrking av samarbeidet med og forbindelsene til arbeidslivet. Flere studieprogram har aktivt og studieplanfest</w:t>
            </w:r>
            <w:r w:rsidR="0095626F">
              <w:rPr>
                <w:rFonts w:cs="Times New Roman"/>
              </w:rPr>
              <w:t xml:space="preserve">et samarbeid med arbeidslivet. Fakultetet ser </w:t>
            </w:r>
            <w:r w:rsidR="0095626F">
              <w:rPr>
                <w:rFonts w:cs="Times New Roman"/>
              </w:rPr>
              <w:lastRenderedPageBreak/>
              <w:t>imidlertid at de</w:t>
            </w:r>
            <w:r w:rsidRPr="00781080">
              <w:rPr>
                <w:rFonts w:cs="Times New Roman"/>
              </w:rPr>
              <w:t xml:space="preserve"> har et potensiale når det gjelder å spisse studieprogrammene i retning mer aktiv utveksling med arbeidslivet. HFs målsetting frem mot 2020 er å bygge arbeidslivsrelevans inn i studiet, som en parallell til lektorutdanningens kombinasjon av disiplinfag, didaktikk og praksis.</w:t>
            </w:r>
          </w:p>
          <w:p w:rsidR="00C83800" w:rsidRPr="00781080" w:rsidRDefault="00C8380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 xml:space="preserve">Strukturer og nivå i studieprogramporteføljen 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Fakultetet vil vurdere verdien av bachelorgraden, og har startet en diskusjon med instituttene om dette på bakgrunn av endringer i sektoren, søkertall samt forholdet </w:t>
            </w:r>
            <w:r w:rsidR="0095626F">
              <w:rPr>
                <w:rFonts w:cs="Times New Roman"/>
              </w:rPr>
              <w:t>mellom fag og profesjonsfelt. De</w:t>
            </w:r>
            <w:r w:rsidRPr="00781080">
              <w:rPr>
                <w:rFonts w:cs="Times New Roman"/>
              </w:rPr>
              <w:t xml:space="preserve"> må vurdere behov og marked innenfor de enkelte studieprogrammene når det gjelder ulike former for differensiering. 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>HFs rolle i og tilbud til andre deler av det fusjonerte NTNU</w:t>
            </w:r>
          </w:p>
          <w:p w:rsidR="00781080" w:rsidRPr="00781080" w:rsidRDefault="00781080" w:rsidP="00C8380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  <w:b/>
                <w:i/>
              </w:rPr>
              <w:t>Logopedi</w:t>
            </w:r>
            <w:r w:rsidRPr="00781080">
              <w:rPr>
                <w:rFonts w:cs="Times New Roman"/>
                <w:b/>
              </w:rPr>
              <w:t xml:space="preserve">: </w:t>
            </w:r>
            <w:r w:rsidRPr="00781080">
              <w:rPr>
                <w:rFonts w:cs="Times New Roman"/>
              </w:rPr>
              <w:t xml:space="preserve">HiST har relevant og viktig fagmiljø i </w:t>
            </w:r>
            <w:proofErr w:type="spellStart"/>
            <w:r w:rsidRPr="00781080">
              <w:rPr>
                <w:rFonts w:cs="Times New Roman"/>
              </w:rPr>
              <w:t>audiografi</w:t>
            </w:r>
            <w:proofErr w:type="spellEnd"/>
            <w:r w:rsidRPr="00781080">
              <w:rPr>
                <w:rFonts w:cs="Times New Roman"/>
              </w:rPr>
              <w:t xml:space="preserve"> og tegnspråk som det kan være aktuelt å inngå samarbeid med.</w:t>
            </w:r>
          </w:p>
          <w:p w:rsidR="00781080" w:rsidRPr="00781080" w:rsidRDefault="00781080" w:rsidP="00C83800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  <w:b/>
                <w:i/>
              </w:rPr>
              <w:t xml:space="preserve">Medievitenskap og medieteknologi: </w:t>
            </w:r>
            <w:r w:rsidRPr="00781080">
              <w:rPr>
                <w:rFonts w:cs="Times New Roman"/>
              </w:rPr>
              <w:t xml:space="preserve">Mulig samarbeid mellom medieteknologimiljøet ved HiG og medievitenskap ved NTNU. </w:t>
            </w:r>
          </w:p>
          <w:p w:rsidR="00781080" w:rsidRDefault="00781080" w:rsidP="00C83800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  <w:b/>
                <w:i/>
              </w:rPr>
              <w:t xml:space="preserve">I vårt porteføljenotat viser vi til ulike bidrag og samarbeidsformer: </w:t>
            </w:r>
            <w:r w:rsidRPr="00781080">
              <w:rPr>
                <w:rFonts w:cs="Times New Roman"/>
              </w:rPr>
              <w:t xml:space="preserve">Tilbud i fagskriving i norsk og engelsk, norskkurs for utenlandske studenter og ansatte, emner i innovasjon og </w:t>
            </w:r>
            <w:proofErr w:type="spellStart"/>
            <w:r w:rsidRPr="00781080">
              <w:rPr>
                <w:rFonts w:cs="Times New Roman"/>
              </w:rPr>
              <w:t>intraprenørskap</w:t>
            </w:r>
            <w:proofErr w:type="spellEnd"/>
            <w:r w:rsidRPr="00781080">
              <w:rPr>
                <w:rFonts w:cs="Times New Roman"/>
              </w:rPr>
              <w:t xml:space="preserve">, anvendt etikk, ex. </w:t>
            </w:r>
            <w:proofErr w:type="spellStart"/>
            <w:proofErr w:type="gramStart"/>
            <w:r w:rsidRPr="00781080">
              <w:rPr>
                <w:rFonts w:cs="Times New Roman"/>
              </w:rPr>
              <w:t>phil</w:t>
            </w:r>
            <w:proofErr w:type="spellEnd"/>
            <w:r w:rsidRPr="00781080">
              <w:rPr>
                <w:rFonts w:cs="Times New Roman"/>
              </w:rPr>
              <w:t>.,</w:t>
            </w:r>
            <w:proofErr w:type="gramEnd"/>
            <w:r w:rsidRPr="00781080">
              <w:rPr>
                <w:rFonts w:cs="Times New Roman"/>
              </w:rPr>
              <w:t xml:space="preserve"> emnetilbud til siv.ing.-, og siv.ark.-studenter, ingeniørutdanningene fra de tidligere høyskolene, lærerutdanningene, helsefagutdanningene.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95626F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Siden HF har flere studieprogram med få studenter har fakultetet aktivt samarbeid og forpliktende samarbeidsavtale med UiB på master i fransk og tysk. Fakultetet har dessuten ambisjon om økt grad av SAK. Det er potensiale for flere SAK-prosjekter, men nasjonalt har ikke de andre humaniorafakultetene kommet like langt i tenkningen.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781080">
              <w:rPr>
                <w:rFonts w:cs="Times New Roman"/>
                <w:b/>
              </w:rPr>
              <w:t>Videreutdanning</w:t>
            </w:r>
          </w:p>
          <w:p w:rsid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HF har i dag et bredt videreutdanningstilbud rettet mot lærere, og vil fremover utrede muligheter for tilbud til arbeids- og næringsliv.</w:t>
            </w:r>
          </w:p>
          <w:p w:rsidR="0095626F" w:rsidRPr="00781080" w:rsidRDefault="0095626F" w:rsidP="00C83800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781080" w:rsidRPr="00781080" w:rsidTr="00E21150"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rPr>
                <w:b/>
              </w:rPr>
              <w:lastRenderedPageBreak/>
              <w:t>IME</w:t>
            </w:r>
          </w:p>
        </w:tc>
        <w:tc>
          <w:tcPr>
            <w:tcW w:w="13232" w:type="dxa"/>
            <w:shd w:val="clear" w:color="auto" w:fill="auto"/>
          </w:tcPr>
          <w:p w:rsidR="007B0A0F" w:rsidRDefault="00781080" w:rsidP="00C838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IME-fakultetet planlegger ingen vesentlig dreining av innhold og fokus i sin studieprogramportefølje i årene framover. Fakultetet har nylig hatt en gjennomgang av studietilbudet innen IKT-segmentet, og ønsker å prøve ut de fornyede studieprogrammene over en periode før større endringer blir gjort.</w:t>
            </w:r>
          </w:p>
          <w:p w:rsidR="007B0A0F" w:rsidRDefault="007B0A0F" w:rsidP="00C838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</w:rPr>
            </w:pPr>
          </w:p>
          <w:p w:rsidR="007B0A0F" w:rsidRDefault="00781080" w:rsidP="00C838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IME vurderer å gjøre alle sine 2-årige masterprogrammer om til internasjonale programmer. Noen toårige programmer er nå under vurdering. Man vurderer internasjonale 2-årige studietilbud innen datateknologi på et mer overordnet nivå og masterprogrammet i Information Systems kan på sikt bli erstattet, omstrukturert eller nedlagt. </w:t>
            </w:r>
          </w:p>
          <w:p w:rsidR="00781080" w:rsidRPr="00C83800" w:rsidRDefault="00781080" w:rsidP="00C838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i/>
                <w:iCs/>
              </w:rPr>
            </w:pPr>
            <w:r w:rsidRPr="00781080">
              <w:rPr>
                <w:rFonts w:cs="Times New Roman"/>
              </w:rPr>
              <w:t xml:space="preserve">IME planlegger ingen endringer i studieprogramporteføljen fra 2016/2017. Det er nå bestemt at både </w:t>
            </w:r>
            <w:r w:rsidRPr="00781080">
              <w:rPr>
                <w:rFonts w:cs="Times New Roman"/>
                <w:i/>
                <w:iCs/>
              </w:rPr>
              <w:t xml:space="preserve">Information Systems (INFOSYST) </w:t>
            </w:r>
            <w:r w:rsidRPr="00781080">
              <w:rPr>
                <w:rFonts w:cs="Times New Roman"/>
              </w:rPr>
              <w:t xml:space="preserve">og </w:t>
            </w:r>
            <w:r w:rsidRPr="00781080">
              <w:rPr>
                <w:rFonts w:cs="Times New Roman"/>
                <w:i/>
                <w:iCs/>
              </w:rPr>
              <w:t xml:space="preserve">Applied and Engineering Mathematics (MSAPPMA) </w:t>
            </w:r>
            <w:r w:rsidRPr="00781080">
              <w:rPr>
                <w:rFonts w:cs="Times New Roman"/>
              </w:rPr>
              <w:t>vil ha opptak som vanlig i 2016, endringer for disse skjer altså tidligst ved opptak i 2017.</w:t>
            </w:r>
          </w:p>
        </w:tc>
      </w:tr>
      <w:tr w:rsidR="00781080" w:rsidRPr="00781080" w:rsidTr="00C83800">
        <w:trPr>
          <w:trHeight w:val="4088"/>
        </w:trPr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lastRenderedPageBreak/>
              <w:t>IVT</w:t>
            </w:r>
          </w:p>
        </w:tc>
        <w:tc>
          <w:tcPr>
            <w:tcW w:w="13232" w:type="dxa"/>
            <w:shd w:val="clear" w:color="auto" w:fill="auto"/>
          </w:tcPr>
          <w:p w:rsidR="00781080" w:rsidRDefault="00781080" w:rsidP="0095626F">
            <w:pPr>
              <w:spacing w:after="60" w:line="240" w:lineRule="auto"/>
              <w:ind w:right="85"/>
            </w:pPr>
            <w:r w:rsidRPr="0095626F">
              <w:t xml:space="preserve">Fakultetet ønsker ikke å gjøre noen endringer i de sju femårige studieprogrammene som gis.  Samtlige programmer har nylig vært igjennom en større revisjon, </w:t>
            </w:r>
            <w:r w:rsidR="0095626F" w:rsidRPr="0095626F">
              <w:t xml:space="preserve">og </w:t>
            </w:r>
            <w:r w:rsidRPr="0095626F">
              <w:t xml:space="preserve">har hatt svært gode søkertall, produserer svært etterspurte og relevante kandidater både til industri og forvaltning, og programmene er tett koblet mot fakultetets forskningsplan. </w:t>
            </w:r>
          </w:p>
          <w:p w:rsidR="0095626F" w:rsidRPr="00781080" w:rsidRDefault="0095626F" w:rsidP="0095626F">
            <w:pPr>
              <w:spacing w:after="60" w:line="240" w:lineRule="auto"/>
              <w:ind w:right="85"/>
              <w:contextualSpacing/>
              <w:rPr>
                <w:rFonts w:cs="Times New Roman"/>
                <w:i/>
              </w:rPr>
            </w:pPr>
          </w:p>
          <w:p w:rsidR="00781080" w:rsidRDefault="00781080" w:rsidP="0095626F">
            <w:pPr>
              <w:spacing w:after="60" w:line="240" w:lineRule="auto"/>
              <w:ind w:right="85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Fakultetet konstaterer at det vil være mer omfattende å gjøre organisatoriske endringer for internasjonale samarbeidsprogrammer som N5T, EM og EM+ og andre, bl.a. pga. avtaler inngått etc., men på noe sikt vil det være mulig å organisere også slike programmer som studieretninger/spesialiseringer i generiske programmer.  Dette vil være avhengig av avklaring av punktet over.</w:t>
            </w:r>
          </w:p>
          <w:p w:rsidR="0095626F" w:rsidRPr="00781080" w:rsidRDefault="0095626F" w:rsidP="0095626F">
            <w:pPr>
              <w:spacing w:after="60" w:line="240" w:lineRule="auto"/>
              <w:ind w:right="85"/>
              <w:contextualSpacing/>
              <w:rPr>
                <w:rFonts w:cs="Times New Roman"/>
                <w:i/>
              </w:rPr>
            </w:pPr>
          </w:p>
          <w:p w:rsidR="00781080" w:rsidRPr="00781080" w:rsidRDefault="00781080" w:rsidP="0095626F">
            <w:pPr>
              <w:spacing w:after="60" w:line="240" w:lineRule="auto"/>
              <w:ind w:right="85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Det er rimelig å forvente at den forestående fusjonen i betydelig grad vil påvirke både mulighetsromm</w:t>
            </w:r>
            <w:r w:rsidR="0095626F">
              <w:rPr>
                <w:rFonts w:cs="Times New Roman"/>
              </w:rPr>
              <w:t xml:space="preserve">et og rammebetingelsene for den </w:t>
            </w:r>
            <w:r w:rsidRPr="00781080">
              <w:rPr>
                <w:rFonts w:cs="Times New Roman"/>
              </w:rPr>
              <w:t>studieprogramportefø</w:t>
            </w:r>
            <w:r w:rsidR="0095626F">
              <w:rPr>
                <w:rFonts w:cs="Times New Roman"/>
              </w:rPr>
              <w:t>ljen som IVT forvalter i dag. Fakultetet</w:t>
            </w:r>
            <w:r w:rsidRPr="00781080">
              <w:rPr>
                <w:rFonts w:cs="Times New Roman"/>
              </w:rPr>
              <w:t xml:space="preserve"> vil derfor avvente signaler knyttet til både faglig organisering og faglig plattform i det framtidige NTNU, samtidig som vi vil bidra aktivt i å utforske og utnytte de muligheter på porteføljesiden som fusjonen er ventet å gi. 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781080" w:rsidRPr="00781080" w:rsidTr="00E21150"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NT</w:t>
            </w:r>
          </w:p>
        </w:tc>
        <w:tc>
          <w:tcPr>
            <w:tcW w:w="13232" w:type="dxa"/>
            <w:shd w:val="clear" w:color="auto" w:fill="auto"/>
          </w:tcPr>
          <w:p w:rsidR="007B0A0F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 xml:space="preserve">NT-fakultetet ønsker å styrke rekrutteringen til sine 2-årige masterprogram. Tilbudet som gis innenfor disse programmene skal være fundert på robuste fagmiljøer. Studieprogrammene skal være robuste over tid mht. studenttall og fagområdene tilbudt ved fakultetet. </w:t>
            </w:r>
          </w:p>
          <w:p w:rsidR="007B0A0F" w:rsidRDefault="007B0A0F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B0A0F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Spesialiseringer innenfor studieprogrammet kan komme og gå avhengig av strategiske satsninger og samfunnsbehov. Arbeidsgivere skal være kjent med hvilke kvalifikasjoner en kandidat uteksaminert fra NT-fakultetet innehar, og dette krever en viss st</w:t>
            </w:r>
            <w:r w:rsidR="0095626F">
              <w:rPr>
                <w:rFonts w:cs="Times New Roman"/>
              </w:rPr>
              <w:t>abilitet i programporteføljen fakultetet</w:t>
            </w:r>
            <w:r w:rsidRPr="00781080">
              <w:rPr>
                <w:rFonts w:cs="Times New Roman"/>
              </w:rPr>
              <w:t xml:space="preserve"> tilbyr. Fakultetet vil derfor arbeide videre med å se på hvilke muligheter som finnes for å få en programportefølje bestående av mer brede studieprogram som favner spesialiseringer som er samfunnsaktuelle og av strategisk betydning. </w:t>
            </w:r>
          </w:p>
          <w:p w:rsidR="007B0A0F" w:rsidRDefault="007B0A0F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For øvrige studietilbud er det ikke planer om noen vesentlige endringer, annet enn det som måtte framkomme som følge av periodiske programevalueringer og fusjonsprosessen.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781080" w:rsidRPr="00781080" w:rsidTr="00E21150">
        <w:tc>
          <w:tcPr>
            <w:tcW w:w="1760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SVT</w:t>
            </w:r>
          </w:p>
        </w:tc>
        <w:tc>
          <w:tcPr>
            <w:tcW w:w="13232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  <w:r w:rsidRPr="00781080">
              <w:rPr>
                <w:rFonts w:cs="Times New Roman"/>
              </w:rPr>
              <w:t>NTNU fusjonerer med høgskoler og fakultetet har vedtatt endringer i instituttstruktur. Videre har fakultetet vedtatt ny strategiplan og den langsiktige utvikling av porteføljen er usikker. Det vil imidlertid arbeides med studieprogrammenes størrelse, internasjonalisering av programmene, struktur og innhold i disiplinstudiene og sterkere kobling mellom kvalitetssikring, programporteføljen og budsjettarbeidet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D33C82" w:rsidRPr="00781080" w:rsidRDefault="00D33C82" w:rsidP="00C83800">
      <w:pPr>
        <w:spacing w:line="240" w:lineRule="auto"/>
        <w:contextualSpacing/>
      </w:pPr>
    </w:p>
    <w:p w:rsidR="00781080" w:rsidRPr="00781080" w:rsidRDefault="00781080" w:rsidP="00C83800">
      <w:pPr>
        <w:spacing w:line="240" w:lineRule="auto"/>
        <w:contextualSpacing/>
      </w:pPr>
      <w:r w:rsidRPr="00781080">
        <w:br w:type="page"/>
      </w:r>
    </w:p>
    <w:p w:rsidR="00781080" w:rsidRPr="00781080" w:rsidRDefault="00781080" w:rsidP="00C83800">
      <w:pPr>
        <w:pStyle w:val="Overskrift1"/>
        <w:spacing w:line="240" w:lineRule="auto"/>
        <w:ind w:left="-142"/>
        <w:contextualSpacing/>
        <w:rPr>
          <w:rFonts w:asciiTheme="minorHAnsi" w:hAnsiTheme="minorHAnsi"/>
          <w:b/>
          <w:color w:val="auto"/>
        </w:rPr>
      </w:pPr>
      <w:r w:rsidRPr="00781080">
        <w:rPr>
          <w:rFonts w:asciiTheme="minorHAnsi" w:hAnsiTheme="minorHAnsi"/>
          <w:b/>
          <w:color w:val="auto"/>
        </w:rPr>
        <w:lastRenderedPageBreak/>
        <w:t>Tabell – Del B</w:t>
      </w:r>
    </w:p>
    <w:p w:rsidR="00781080" w:rsidRPr="00781080" w:rsidRDefault="00781080" w:rsidP="00C83800">
      <w:pPr>
        <w:pStyle w:val="Overskrift1"/>
        <w:spacing w:line="240" w:lineRule="auto"/>
        <w:ind w:left="-142"/>
        <w:contextualSpacing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81080">
        <w:rPr>
          <w:rFonts w:asciiTheme="minorHAnsi" w:hAnsiTheme="minorHAnsi"/>
          <w:b/>
          <w:color w:val="auto"/>
          <w:sz w:val="22"/>
          <w:szCs w:val="22"/>
          <w:u w:val="single"/>
        </w:rPr>
        <w:t>Fakultetenes foreløpige forslag til konkrete endringer innenfor studieprogrampor</w:t>
      </w:r>
      <w:r w:rsidR="000060C9">
        <w:rPr>
          <w:rFonts w:asciiTheme="minorHAnsi" w:hAnsiTheme="minorHAnsi"/>
          <w:b/>
          <w:color w:val="auto"/>
          <w:sz w:val="22"/>
          <w:szCs w:val="22"/>
          <w:u w:val="single"/>
        </w:rPr>
        <w:t>teføljen 2016/2017</w:t>
      </w:r>
      <w:r w:rsidRPr="00781080">
        <w:rPr>
          <w:rFonts w:asciiTheme="minorHAnsi" w:hAnsiTheme="minorHAnsi"/>
          <w:b/>
          <w:color w:val="auto"/>
          <w:sz w:val="22"/>
          <w:szCs w:val="22"/>
          <w:u w:val="single"/>
        </w:rPr>
        <w:t>:</w:t>
      </w:r>
    </w:p>
    <w:tbl>
      <w:tblPr>
        <w:tblpPr w:leftFromText="141" w:rightFromText="141" w:vertAnchor="page" w:horzAnchor="margin" w:tblpX="-181" w:tblpY="2499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616"/>
        <w:gridCol w:w="3642"/>
        <w:gridCol w:w="3641"/>
        <w:gridCol w:w="4205"/>
      </w:tblGrid>
      <w:tr w:rsidR="00781080" w:rsidRPr="00781080" w:rsidTr="00781080">
        <w:tc>
          <w:tcPr>
            <w:tcW w:w="1177" w:type="dxa"/>
            <w:shd w:val="clear" w:color="auto" w:fill="B3B3B3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i/>
              </w:rPr>
            </w:pPr>
            <w:r w:rsidRPr="00781080">
              <w:rPr>
                <w:i/>
              </w:rPr>
              <w:lastRenderedPageBreak/>
              <w:t>Fakultet</w:t>
            </w:r>
          </w:p>
        </w:tc>
        <w:tc>
          <w:tcPr>
            <w:tcW w:w="2616" w:type="dxa"/>
            <w:shd w:val="clear" w:color="auto" w:fill="B3B3B3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På henholdsvis-Årsstudium- og-Bachelornivå</w:t>
            </w:r>
          </w:p>
        </w:tc>
        <w:tc>
          <w:tcPr>
            <w:tcW w:w="3642" w:type="dxa"/>
            <w:shd w:val="clear" w:color="auto" w:fill="B3B3B3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-Masterprogram og –</w:t>
            </w:r>
            <w:proofErr w:type="gramStart"/>
            <w:r w:rsidRPr="00781080">
              <w:t>Profesjonsstudier(</w:t>
            </w:r>
            <w:proofErr w:type="gramEnd"/>
            <w:r w:rsidRPr="00781080">
              <w:t>våre egne norskspråklige og egne internasjonale studietilbud)</w:t>
            </w:r>
          </w:p>
        </w:tc>
        <w:tc>
          <w:tcPr>
            <w:tcW w:w="3641" w:type="dxa"/>
            <w:shd w:val="clear" w:color="auto" w:fill="B3B3B3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-Eventuelle samarbeidsprogram, nasjonale eller internasjonale, alle typer, med henblikk på oppstart fra og med studieåret 2016/17</w:t>
            </w:r>
          </w:p>
        </w:tc>
        <w:tc>
          <w:tcPr>
            <w:tcW w:w="4205" w:type="dxa"/>
            <w:shd w:val="clear" w:color="auto" w:fill="B3B3B3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-Kort oppsummering av fakultetets vurdering av de enkelte forslag i henhold til kravspesifikasjonens del A og B</w:t>
            </w: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AB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color w:val="FF0000"/>
              </w:rPr>
            </w:pPr>
            <w:r w:rsidRPr="00781080">
              <w:rPr>
                <w:color w:val="FF0000"/>
              </w:rPr>
              <w:t>Masterprogram i kunstproduksjon – 2-årig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FF0000"/>
              </w:rPr>
            </w:pPr>
          </w:p>
          <w:p w:rsidR="00781080" w:rsidRPr="00781080" w:rsidRDefault="00781080" w:rsidP="00C83800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781080">
              <w:rPr>
                <w:color w:val="FF0000"/>
              </w:rPr>
              <w:t xml:space="preserve">Masterprogram i fysisk planlegging - 5 </w:t>
            </w:r>
            <w:proofErr w:type="spellStart"/>
            <w:r w:rsidRPr="00781080">
              <w:rPr>
                <w:color w:val="FF0000"/>
              </w:rPr>
              <w:t>årig</w:t>
            </w:r>
            <w:proofErr w:type="spellEnd"/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4205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781080">
              <w:t xml:space="preserve">De nye studiene er innenfor områder som vil styrke og utfylle den faglige bredden og det tverrfaglige samarbeidet både ved NTNU og innen fakultetet. De slik i overensstemmelse med fakultetets langsiktige faglige strategi hvor kultur- og samfunnsforståelse gir bakgrunn for og en sterkere </w:t>
            </w:r>
            <w:proofErr w:type="spellStart"/>
            <w:r w:rsidRPr="00781080">
              <w:t>kontekstualisering</w:t>
            </w:r>
            <w:proofErr w:type="spellEnd"/>
            <w:r w:rsidRPr="00781080">
              <w:t xml:space="preserve"> av skapende arb</w:t>
            </w:r>
            <w:r w:rsidR="00E65B39">
              <w:t>eid og teknologisk kompetanse. Fakultetet</w:t>
            </w:r>
            <w:r w:rsidRPr="00781080">
              <w:t xml:space="preserve"> har over tid fokusert mye på relasjonen mellom skapende arbeid og teknologi og i større grad tatt relasjonen til kultur og samfunnsfagene for gitt. </w:t>
            </w:r>
          </w:p>
          <w:p w:rsidR="00781080" w:rsidRPr="00781080" w:rsidRDefault="00781080" w:rsidP="00C83800">
            <w:pPr>
              <w:spacing w:line="240" w:lineRule="auto"/>
              <w:ind w:left="360"/>
              <w:contextualSpacing/>
            </w:pPr>
          </w:p>
          <w:p w:rsidR="00781080" w:rsidRPr="00781080" w:rsidRDefault="00781080" w:rsidP="00C83800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781080">
              <w:t xml:space="preserve">Med et 5-årig program i fysisk planlegging vil sikre våre studenter innen dette området en mer robust basiskompetanse, ved at vi tar hånd om (sammensetningen av) denne selv ved NTNU. </w:t>
            </w:r>
          </w:p>
          <w:p w:rsidR="00781080" w:rsidRPr="00781080" w:rsidRDefault="00781080" w:rsidP="00C83800">
            <w:pPr>
              <w:spacing w:line="240" w:lineRule="auto"/>
              <w:ind w:left="360"/>
              <w:contextualSpacing/>
            </w:pPr>
          </w:p>
          <w:p w:rsidR="00781080" w:rsidRPr="00781080" w:rsidRDefault="00781080" w:rsidP="00C83800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781080">
              <w:t>Masterstudiet i kunstproduksjon representerer et slikt fordypningsområde som beveger seg både mot teknologi, arkitektur og samfunnsfag.</w:t>
            </w:r>
          </w:p>
          <w:p w:rsidR="00781080" w:rsidRPr="00781080" w:rsidRDefault="00781080" w:rsidP="00C83800">
            <w:pPr>
              <w:spacing w:line="240" w:lineRule="auto"/>
              <w:ind w:left="360"/>
              <w:contextualSpacing/>
            </w:pPr>
          </w:p>
          <w:p w:rsidR="00781080" w:rsidRPr="00781080" w:rsidRDefault="00781080" w:rsidP="00C83800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781080">
              <w:t>Fakultetet anser at begge studier adresserer felt hvor oppgaver, ansvar, behov og muligheter i arbeidsmarkedet er godt dokumentert</w:t>
            </w:r>
          </w:p>
        </w:tc>
      </w:tr>
      <w:tr w:rsidR="00781080" w:rsidRPr="00781080" w:rsidTr="00781080">
        <w:trPr>
          <w:trHeight w:val="309"/>
        </w:trPr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DMF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2" w:type="dxa"/>
            <w:shd w:val="clear" w:color="auto" w:fill="auto"/>
          </w:tcPr>
          <w:p w:rsidR="00781080" w:rsidRPr="00335303" w:rsidRDefault="00335303" w:rsidP="00335303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MSc</w:t>
            </w:r>
            <w:r w:rsidRPr="00335303">
              <w:rPr>
                <w:color w:val="00B050"/>
                <w:lang w:val="en-US"/>
              </w:rPr>
              <w:t xml:space="preserve"> in Exercise Physiology and Sport Sciences </w:t>
            </w:r>
            <w:proofErr w:type="spellStart"/>
            <w:r w:rsidRPr="00335303">
              <w:rPr>
                <w:color w:val="00B050"/>
                <w:lang w:val="en-US"/>
              </w:rPr>
              <w:t>endrer</w:t>
            </w:r>
            <w:proofErr w:type="spellEnd"/>
            <w:r w:rsidRPr="00335303">
              <w:rPr>
                <w:color w:val="00B050"/>
                <w:lang w:val="en-US"/>
              </w:rPr>
              <w:t xml:space="preserve"> </w:t>
            </w:r>
            <w:proofErr w:type="spellStart"/>
            <w:r w:rsidRPr="00335303">
              <w:rPr>
                <w:color w:val="00B050"/>
                <w:lang w:val="en-US"/>
              </w:rPr>
              <w:t>navn</w:t>
            </w:r>
            <w:proofErr w:type="spellEnd"/>
            <w:r w:rsidRPr="00335303">
              <w:rPr>
                <w:color w:val="00B050"/>
                <w:lang w:val="en-US"/>
              </w:rPr>
              <w:t xml:space="preserve"> til:</w:t>
            </w:r>
          </w:p>
          <w:p w:rsidR="00335303" w:rsidRPr="00335303" w:rsidRDefault="00335303" w:rsidP="00335303">
            <w:pPr>
              <w:pStyle w:val="Listeavsnitt"/>
              <w:spacing w:line="240" w:lineRule="auto"/>
              <w:ind w:left="36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MSc in Exercise Physiology</w:t>
            </w: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4205" w:type="dxa"/>
            <w:shd w:val="clear" w:color="auto" w:fill="auto"/>
          </w:tcPr>
          <w:p w:rsidR="00781080" w:rsidRPr="00781080" w:rsidRDefault="00335303" w:rsidP="0095658A">
            <w:pPr>
              <w:pStyle w:val="Listeavsnitt"/>
              <w:numPr>
                <w:ilvl w:val="0"/>
                <w:numId w:val="18"/>
              </w:numPr>
              <w:spacing w:line="240" w:lineRule="auto"/>
            </w:pPr>
            <w:r>
              <w:t>Navneendringer innebærer ingen endringer i studieprogrammets faglige innhold.</w:t>
            </w:r>
            <w:r w:rsidR="0095658A">
              <w:t xml:space="preserve"> Vil ha virkning for studenter som </w:t>
            </w:r>
            <w:r w:rsidR="0095658A">
              <w:lastRenderedPageBreak/>
              <w:t>tas opp fra og med studieåret 2016/17. Studenter som er tatt opp 2015 eller tidligere får tildelt grad med nåværende navn.</w:t>
            </w: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lastRenderedPageBreak/>
              <w:t>HF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color w:val="0070C0"/>
              </w:rPr>
            </w:pPr>
            <w:r w:rsidRPr="00781080">
              <w:rPr>
                <w:color w:val="0070C0"/>
              </w:rPr>
              <w:t>Bachelorprogrammet dansevitenskap</w:t>
            </w:r>
          </w:p>
          <w:p w:rsidR="00781080" w:rsidRPr="00781080" w:rsidRDefault="00781080" w:rsidP="00C838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color w:val="0070C0"/>
                <w:lang w:val="nn-NO"/>
              </w:rPr>
            </w:pPr>
            <w:r w:rsidRPr="00781080">
              <w:rPr>
                <w:color w:val="0070C0"/>
                <w:lang w:val="nn-NO"/>
              </w:rPr>
              <w:t>Årsstudiet i film- og medievitenskap</w:t>
            </w: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color w:val="00B050"/>
              </w:rPr>
            </w:pPr>
            <w:proofErr w:type="spellStart"/>
            <w:r w:rsidRPr="00781080">
              <w:rPr>
                <w:color w:val="00B050"/>
                <w:lang w:val="nn-NO"/>
              </w:rPr>
              <w:t>Sammenslåing</w:t>
            </w:r>
            <w:proofErr w:type="spellEnd"/>
            <w:r w:rsidRPr="00781080">
              <w:rPr>
                <w:color w:val="00B050"/>
                <w:lang w:val="nn-NO"/>
              </w:rPr>
              <w:t xml:space="preserve"> av </w:t>
            </w:r>
            <w:proofErr w:type="spellStart"/>
            <w:r w:rsidRPr="00781080">
              <w:rPr>
                <w:color w:val="00B050"/>
                <w:lang w:val="nn-NO"/>
              </w:rPr>
              <w:t>masterprogrammene</w:t>
            </w:r>
            <w:proofErr w:type="spellEnd"/>
            <w:r w:rsidRPr="00781080">
              <w:rPr>
                <w:color w:val="00B050"/>
                <w:lang w:val="nn-NO"/>
              </w:rPr>
              <w:t xml:space="preserve"> i </w:t>
            </w:r>
            <w:proofErr w:type="spellStart"/>
            <w:r w:rsidRPr="00781080">
              <w:rPr>
                <w:color w:val="00B050"/>
                <w:lang w:val="nn-NO"/>
              </w:rPr>
              <w:t>filmvitenskap</w:t>
            </w:r>
            <w:proofErr w:type="spellEnd"/>
            <w:r w:rsidRPr="00781080">
              <w:rPr>
                <w:color w:val="00B050"/>
                <w:lang w:val="nn-NO"/>
              </w:rPr>
              <w:t xml:space="preserve"> og medievitenskap til </w:t>
            </w:r>
            <w:proofErr w:type="spellStart"/>
            <w:r w:rsidRPr="00781080">
              <w:rPr>
                <w:color w:val="00B050"/>
                <w:lang w:val="nn-NO"/>
              </w:rPr>
              <w:t>ett</w:t>
            </w:r>
            <w:proofErr w:type="spellEnd"/>
            <w:r w:rsidRPr="00781080">
              <w:rPr>
                <w:color w:val="00B050"/>
                <w:lang w:val="nn-NO"/>
              </w:rPr>
              <w:t xml:space="preserve"> felles masterprogram i film- og medievitenskap med to </w:t>
            </w:r>
            <w:proofErr w:type="spellStart"/>
            <w:r w:rsidRPr="00781080">
              <w:rPr>
                <w:color w:val="00B050"/>
                <w:lang w:val="nn-NO"/>
              </w:rPr>
              <w:t>studieretninger</w:t>
            </w:r>
            <w:proofErr w:type="spellEnd"/>
            <w:r w:rsidRPr="00781080">
              <w:rPr>
                <w:color w:val="00B050"/>
                <w:lang w:val="nn-NO"/>
              </w:rPr>
              <w:t xml:space="preserve"> i </w:t>
            </w:r>
            <w:proofErr w:type="spellStart"/>
            <w:r w:rsidRPr="00781080">
              <w:rPr>
                <w:color w:val="00B050"/>
                <w:lang w:val="nn-NO"/>
              </w:rPr>
              <w:t>henholdsvis</w:t>
            </w:r>
            <w:proofErr w:type="spellEnd"/>
            <w:r w:rsidRPr="00781080">
              <w:rPr>
                <w:color w:val="00B050"/>
                <w:lang w:val="nn-NO"/>
              </w:rPr>
              <w:t xml:space="preserve"> film- og medievitenskap. </w:t>
            </w:r>
            <w:r w:rsidRPr="00781080">
              <w:rPr>
                <w:color w:val="00B050"/>
              </w:rPr>
              <w:t>Vi ser for oss opptak til masterprogrammet, med lokalt veivalg til studieretningene tidlig i første semester.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B050"/>
              </w:rPr>
            </w:pPr>
          </w:p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color w:val="0070C0"/>
                <w:lang w:val="en-US"/>
              </w:rPr>
            </w:pPr>
            <w:r w:rsidRPr="00781080">
              <w:rPr>
                <w:color w:val="0070C0"/>
                <w:lang w:val="en-US"/>
              </w:rPr>
              <w:t xml:space="preserve">Master of Philosophy (M. Phil.) in Linguistics 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B050"/>
                <w:lang w:val="en-US"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4205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</w:pPr>
            <w:r w:rsidRPr="00781080">
              <w:t>Bachelorprogrammet dansevitenskap: Svak rekruttering, i realiteten videreutdanning, få har fullført grad. Et lite robust fagmiljø med to ansatte, hvor fakultetet har prioritert å opprettholde de to masterprogrammene.</w:t>
            </w: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</w:pPr>
            <w:r w:rsidRPr="00781080">
              <w:rPr>
                <w:lang w:val="en-US"/>
              </w:rPr>
              <w:t xml:space="preserve">Master of Philosophy (M. Phil.) in Linguistics. </w:t>
            </w:r>
            <w:r w:rsidRPr="00781080">
              <w:t>Siste opptak høsten 2012, lagt ned med samme begrunnelse som masterprogrammet i lingvistikk: Svak rekruttering og utfasing ved stillingsavgang.</w:t>
            </w:r>
          </w:p>
          <w:p w:rsidR="00781080" w:rsidRPr="00781080" w:rsidRDefault="00781080" w:rsidP="00C83800">
            <w:pPr>
              <w:pStyle w:val="Listeavsnitt"/>
              <w:spacing w:line="240" w:lineRule="auto"/>
              <w:rPr>
                <w:rFonts w:asciiTheme="minorHAnsi" w:hAnsiTheme="minorHAnsi"/>
              </w:rPr>
            </w:pPr>
          </w:p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</w:pPr>
            <w:r w:rsidRPr="00781080">
              <w:t>Sammenslåing av masterprogrammene i filmvitenskap og medievitenskap til et felles masterprogram i film- og medievitenskap med to studieretninger i henholdsvis film- og medievitenskap er et svar på utfordringen om å bygge mer robuste studieprogram med høy faglig kvalitet. Komponenter som «Fagformidling og kommunikasjon» og «Anvendt kulturpolitikk og forvaltning» viser tydelig arbeidslivsrelevans.</w:t>
            </w:r>
          </w:p>
          <w:p w:rsidR="00781080" w:rsidRPr="00781080" w:rsidRDefault="00781080" w:rsidP="00C83800">
            <w:pPr>
              <w:pStyle w:val="Listeavsnitt"/>
              <w:spacing w:line="240" w:lineRule="auto"/>
              <w:rPr>
                <w:rFonts w:asciiTheme="minorHAnsi" w:hAnsiTheme="minorHAnsi"/>
              </w:rPr>
            </w:pPr>
          </w:p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</w:pPr>
            <w:r w:rsidRPr="00781080">
              <w:t>Årsstudiet i film- og medievitenskap vurderes nedlagt fra og med 2016/2017. Ble opprettet med siktemål å være fag 2 i lektorutdanningen.</w:t>
            </w: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rPr>
                <w:b/>
              </w:rPr>
              <w:t>IME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9" w:hanging="423"/>
              <w:contextualSpacing/>
              <w:rPr>
                <w:color w:val="FF0000"/>
              </w:rPr>
            </w:pPr>
            <w:r w:rsidRPr="00781080">
              <w:rPr>
                <w:color w:val="FF0000"/>
              </w:rPr>
              <w:t>Videreføring av studieprogrammet Embedded Computing Systems (MSECS) under Erasmus+</w:t>
            </w:r>
          </w:p>
        </w:tc>
        <w:tc>
          <w:tcPr>
            <w:tcW w:w="4205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81080">
              <w:t>Fakultetet støtter forslaget</w:t>
            </w: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lastRenderedPageBreak/>
              <w:t>IVT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jc w:val="both"/>
            </w:pPr>
            <w:r w:rsidRPr="00781080">
              <w:t>Ingen endring</w:t>
            </w: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9"/>
              </w:numPr>
              <w:spacing w:after="0" w:line="240" w:lineRule="auto"/>
              <w:ind w:left="367" w:hanging="426"/>
              <w:contextualSpacing/>
              <w:rPr>
                <w:color w:val="FF0000"/>
                <w:u w:val="single"/>
                <w:lang w:val="en-US"/>
              </w:rPr>
            </w:pPr>
            <w:r w:rsidRPr="00781080">
              <w:rPr>
                <w:color w:val="FF0000"/>
                <w:u w:val="single"/>
                <w:lang w:val="en-US"/>
              </w:rPr>
              <w:t>Mind – Erasmus Mundus Master’s Programme in Industrial Ecology</w:t>
            </w:r>
          </w:p>
          <w:p w:rsidR="00781080" w:rsidRPr="00781080" w:rsidRDefault="00781080" w:rsidP="00C83800">
            <w:pPr>
              <w:spacing w:after="60" w:line="240" w:lineRule="auto"/>
              <w:ind w:right="85"/>
              <w:contextualSpacing/>
              <w:rPr>
                <w:color w:val="FF0000"/>
              </w:rPr>
            </w:pPr>
            <w:r w:rsidRPr="00781080">
              <w:rPr>
                <w:color w:val="FF0000"/>
              </w:rPr>
              <w:t>Søknad er sendt fra NTNU til årets søknadsrunde under Erasmus+</w:t>
            </w:r>
          </w:p>
          <w:p w:rsidR="00781080" w:rsidRPr="00781080" w:rsidRDefault="00781080" w:rsidP="00C83800">
            <w:pPr>
              <w:spacing w:after="60" w:line="240" w:lineRule="auto"/>
              <w:ind w:left="85" w:right="85"/>
              <w:contextualSpacing/>
              <w:rPr>
                <w:color w:val="FF0000"/>
              </w:rPr>
            </w:pPr>
          </w:p>
          <w:p w:rsidR="00781080" w:rsidRPr="00781080" w:rsidRDefault="00781080" w:rsidP="00C83800">
            <w:pPr>
              <w:numPr>
                <w:ilvl w:val="0"/>
                <w:numId w:val="10"/>
              </w:numPr>
              <w:spacing w:after="60" w:line="240" w:lineRule="auto"/>
              <w:ind w:left="367" w:right="85" w:hanging="367"/>
              <w:contextualSpacing/>
              <w:rPr>
                <w:color w:val="FF0000"/>
                <w:u w:val="single"/>
                <w:lang w:val="en-US"/>
              </w:rPr>
            </w:pPr>
            <w:r w:rsidRPr="00781080">
              <w:rPr>
                <w:color w:val="FF0000"/>
                <w:u w:val="single"/>
                <w:lang w:val="en-US"/>
              </w:rPr>
              <w:t>Nordic Master in Cold Climate Engineering</w:t>
            </w:r>
          </w:p>
          <w:p w:rsidR="00781080" w:rsidRPr="00781080" w:rsidRDefault="00781080" w:rsidP="00C83800">
            <w:pPr>
              <w:spacing w:after="60" w:line="240" w:lineRule="auto"/>
              <w:ind w:right="85"/>
              <w:contextualSpacing/>
              <w:rPr>
                <w:color w:val="FF0000"/>
              </w:rPr>
            </w:pPr>
            <w:r w:rsidRPr="00781080">
              <w:rPr>
                <w:color w:val="FF0000"/>
              </w:rPr>
              <w:t>Programmet er vedtatt opprettet fra og med studieåret 2016/17.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10"/>
              </w:numPr>
              <w:spacing w:after="0" w:line="240" w:lineRule="auto"/>
              <w:ind w:left="411" w:hanging="425"/>
              <w:contextualSpacing/>
            </w:pPr>
            <w:proofErr w:type="spellStart"/>
            <w:r w:rsidRPr="00781080">
              <w:t>Kfr</w:t>
            </w:r>
            <w:proofErr w:type="spellEnd"/>
            <w:r w:rsidRPr="00781080">
              <w:t xml:space="preserve"> rektors brev 20.2.2015 </w:t>
            </w: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spacing w:line="240" w:lineRule="auto"/>
              <w:contextualSpacing/>
            </w:pPr>
          </w:p>
          <w:p w:rsidR="00781080" w:rsidRPr="00781080" w:rsidRDefault="00781080" w:rsidP="00C83800">
            <w:pPr>
              <w:numPr>
                <w:ilvl w:val="0"/>
                <w:numId w:val="10"/>
              </w:numPr>
              <w:spacing w:after="0" w:line="240" w:lineRule="auto"/>
              <w:ind w:left="411" w:hanging="411"/>
              <w:contextualSpacing/>
            </w:pPr>
            <w:r w:rsidRPr="00781080">
              <w:t>Se styresak 24/14.</w:t>
            </w: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NT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color w:val="00B050"/>
              </w:rPr>
            </w:pPr>
            <w:r w:rsidRPr="00781080">
              <w:rPr>
                <w:color w:val="00B050"/>
              </w:rPr>
              <w:t>Det 5-årige masterprogrammet i materialteknologi (MTMT) blir delvis endret i innhold, men består som studieprogram.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B050"/>
              </w:rPr>
            </w:pPr>
          </w:p>
          <w:p w:rsidR="00781080" w:rsidRPr="00781080" w:rsidRDefault="00781080" w:rsidP="00C8380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color w:val="00B050"/>
              </w:rPr>
            </w:pPr>
            <w:r w:rsidRPr="00781080">
              <w:rPr>
                <w:color w:val="00B050"/>
              </w:rPr>
              <w:t>Det 2-årige masterprogrammet i materialteknologi (MIMT) blir justert i innhold slik at det vil tilsvare de siste årene i det reviderte MTMT-programmet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B050"/>
              </w:rPr>
            </w:pPr>
          </w:p>
          <w:p w:rsidR="00781080" w:rsidRPr="00781080" w:rsidRDefault="00781080" w:rsidP="00C8380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color w:val="0070C0"/>
              </w:rPr>
            </w:pPr>
            <w:r w:rsidRPr="00781080">
              <w:rPr>
                <w:color w:val="0070C0"/>
              </w:rPr>
              <w:t>Studieretningen Materialkjemi og energiteknologi i det 2-årige masterprogrammet Industriell kjemi og bioteknologi (MIKJ).</w:t>
            </w:r>
          </w:p>
          <w:p w:rsidR="00781080" w:rsidRPr="00781080" w:rsidRDefault="00781080" w:rsidP="00C83800">
            <w:pPr>
              <w:pStyle w:val="Listeavsnitt"/>
              <w:spacing w:line="240" w:lineRule="auto"/>
              <w:rPr>
                <w:rFonts w:asciiTheme="minorHAnsi" w:hAnsiTheme="minorHAnsi"/>
                <w:color w:val="0070C0"/>
              </w:rPr>
            </w:pPr>
          </w:p>
          <w:p w:rsidR="00781080" w:rsidRPr="00781080" w:rsidRDefault="00781080" w:rsidP="00C8380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color w:val="0070C0"/>
              </w:rPr>
            </w:pPr>
            <w:r w:rsidRPr="00781080">
              <w:rPr>
                <w:color w:val="0070C0"/>
              </w:rPr>
              <w:t>Light Metals, Silicon and Ferroalloy Production (MSLISIFER) nedlegges og</w:t>
            </w:r>
            <w:r w:rsidRPr="00781080">
              <w:rPr>
                <w:color w:val="000000"/>
              </w:rPr>
              <w:t xml:space="preserve"> </w:t>
            </w:r>
            <w:r w:rsidRPr="00781080">
              <w:rPr>
                <w:color w:val="FF0000"/>
              </w:rPr>
              <w:t>erstattes av et nytt og bredere 2-årig internasjonalt masterprogram Master in Materials Science and Engineering (MSMT).</w:t>
            </w: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</w:pPr>
            <w:r w:rsidRPr="00781080">
              <w:t>Ingen endring</w:t>
            </w:r>
          </w:p>
        </w:tc>
        <w:tc>
          <w:tcPr>
            <w:tcW w:w="4205" w:type="dxa"/>
            <w:shd w:val="clear" w:color="auto" w:fill="auto"/>
          </w:tcPr>
          <w:p w:rsidR="00F113DB" w:rsidRPr="00F113DB" w:rsidRDefault="00F113DB" w:rsidP="00F113DB">
            <w:r w:rsidRPr="00F113DB">
              <w:t xml:space="preserve">- Forslagene er i henhold til NT-fakultetets mål om å forenkle og tydeliggjøre studietilbudet innenfor NTs fagområder, og skape mer robuste og brede 2-årige masterprogram. </w:t>
            </w:r>
          </w:p>
          <w:p w:rsidR="00F113DB" w:rsidRPr="00F113DB" w:rsidRDefault="00F113DB" w:rsidP="00F113DB"/>
          <w:p w:rsidR="00781080" w:rsidRPr="00781080" w:rsidRDefault="00781080" w:rsidP="00F113DB">
            <w:pPr>
              <w:spacing w:line="240" w:lineRule="auto"/>
              <w:contextualSpacing/>
            </w:pPr>
          </w:p>
        </w:tc>
      </w:tr>
      <w:tr w:rsidR="00781080" w:rsidRPr="00781080" w:rsidTr="00781080">
        <w:tc>
          <w:tcPr>
            <w:tcW w:w="1177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b/>
              </w:rPr>
            </w:pPr>
            <w:r w:rsidRPr="00781080">
              <w:rPr>
                <w:b/>
              </w:rPr>
              <w:t>SVT</w:t>
            </w:r>
          </w:p>
        </w:tc>
        <w:tc>
          <w:tcPr>
            <w:tcW w:w="2616" w:type="dxa"/>
            <w:shd w:val="clear" w:color="auto" w:fill="auto"/>
          </w:tcPr>
          <w:p w:rsidR="00781080" w:rsidRPr="00781080" w:rsidRDefault="00781080" w:rsidP="00C83800">
            <w:pPr>
              <w:pStyle w:val="Ingenmellomrom"/>
              <w:numPr>
                <w:ilvl w:val="0"/>
                <w:numId w:val="6"/>
              </w:numPr>
              <w:ind w:left="237" w:hanging="240"/>
              <w:contextualSpacing/>
              <w:rPr>
                <w:rFonts w:asciiTheme="minorHAnsi" w:hAnsiTheme="minorHAnsi"/>
                <w:color w:val="0066FF"/>
                <w:szCs w:val="24"/>
              </w:rPr>
            </w:pPr>
            <w:r w:rsidRPr="00781080">
              <w:rPr>
                <w:rFonts w:asciiTheme="minorHAnsi" w:hAnsiTheme="minorHAnsi"/>
                <w:color w:val="0066FF"/>
                <w:szCs w:val="24"/>
              </w:rPr>
              <w:t>Årsstudium i samfunnskunnskap</w:t>
            </w:r>
          </w:p>
          <w:p w:rsidR="00781080" w:rsidRPr="00781080" w:rsidRDefault="00781080" w:rsidP="00C83800">
            <w:pPr>
              <w:pStyle w:val="Ingenmellomrom"/>
              <w:numPr>
                <w:ilvl w:val="0"/>
                <w:numId w:val="6"/>
              </w:numPr>
              <w:ind w:left="237" w:hanging="240"/>
              <w:contextualSpacing/>
              <w:rPr>
                <w:rFonts w:asciiTheme="minorHAnsi" w:hAnsiTheme="minorHAnsi"/>
                <w:color w:val="0066FF"/>
                <w:szCs w:val="24"/>
              </w:rPr>
            </w:pPr>
            <w:r w:rsidRPr="00781080">
              <w:rPr>
                <w:rFonts w:asciiTheme="minorHAnsi" w:hAnsiTheme="minorHAnsi"/>
                <w:color w:val="0066FF"/>
                <w:szCs w:val="24"/>
              </w:rPr>
              <w:t>Emnestudier i samfunns-vitenskapelige fag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color w:val="FF0000"/>
                <w:szCs w:val="24"/>
              </w:rPr>
            </w:pPr>
            <w:r w:rsidRPr="00781080">
              <w:rPr>
                <w:color w:val="FF0000"/>
                <w:szCs w:val="24"/>
              </w:rPr>
              <w:t xml:space="preserve">Erfaringsbasert master i skolefag </w:t>
            </w:r>
          </w:p>
          <w:p w:rsidR="00781080" w:rsidRPr="00781080" w:rsidRDefault="00781080" w:rsidP="00C83800">
            <w:pPr>
              <w:spacing w:line="240" w:lineRule="auto"/>
              <w:ind w:left="176"/>
              <w:contextualSpacing/>
              <w:rPr>
                <w:color w:val="FF0000"/>
                <w:szCs w:val="24"/>
              </w:rPr>
            </w:pPr>
          </w:p>
          <w:p w:rsidR="00781080" w:rsidRPr="00781080" w:rsidRDefault="00781080" w:rsidP="00C83800">
            <w:pPr>
              <w:pStyle w:val="Ingenmellomrom"/>
              <w:numPr>
                <w:ilvl w:val="0"/>
                <w:numId w:val="7"/>
              </w:numPr>
              <w:ind w:left="176" w:hanging="176"/>
              <w:contextualSpacing/>
              <w:rPr>
                <w:rFonts w:asciiTheme="minorHAnsi" w:hAnsiTheme="minorHAnsi"/>
                <w:color w:val="0066FF"/>
                <w:szCs w:val="24"/>
              </w:rPr>
            </w:pPr>
            <w:r w:rsidRPr="00781080">
              <w:rPr>
                <w:rFonts w:asciiTheme="minorHAnsi" w:hAnsiTheme="minorHAnsi"/>
                <w:color w:val="0066FF"/>
                <w:szCs w:val="24"/>
              </w:rPr>
              <w:t>Master i pedagogikk-studieretning i skoleutvikling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781080" w:rsidRPr="00781080" w:rsidRDefault="00781080" w:rsidP="00C83800">
            <w:pPr>
              <w:spacing w:line="240" w:lineRule="auto"/>
              <w:contextualSpacing/>
              <w:rPr>
                <w:szCs w:val="24"/>
              </w:rPr>
            </w:pPr>
            <w:r w:rsidRPr="00781080">
              <w:rPr>
                <w:szCs w:val="24"/>
              </w:rPr>
              <w:t>Ingen endring</w:t>
            </w:r>
          </w:p>
        </w:tc>
        <w:tc>
          <w:tcPr>
            <w:tcW w:w="4205" w:type="dxa"/>
            <w:shd w:val="clear" w:color="auto" w:fill="auto"/>
          </w:tcPr>
          <w:p w:rsidR="00781080" w:rsidRPr="00781080" w:rsidRDefault="00781080" w:rsidP="00C8380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Cs w:val="24"/>
              </w:rPr>
            </w:pPr>
            <w:r w:rsidRPr="00781080">
              <w:rPr>
                <w:szCs w:val="24"/>
              </w:rPr>
              <w:t>Et tiltak i NTNUs policy for lærerløftet er å utvikle en fleksibel modell for masterstudier for lærere som kan tilbys i flere fag. Finansieres dels ved egenbetaling og del ved tilskudd gjennom IFM.</w:t>
            </w:r>
          </w:p>
          <w:p w:rsidR="00781080" w:rsidRPr="00781080" w:rsidRDefault="00781080" w:rsidP="00C83800">
            <w:pPr>
              <w:spacing w:line="240" w:lineRule="auto"/>
              <w:contextualSpacing/>
              <w:rPr>
                <w:szCs w:val="24"/>
              </w:rPr>
            </w:pPr>
          </w:p>
          <w:p w:rsidR="00781080" w:rsidRPr="00781080" w:rsidRDefault="00781080" w:rsidP="00C83800">
            <w:pPr>
              <w:spacing w:line="240" w:lineRule="auto"/>
              <w:contextualSpacing/>
              <w:rPr>
                <w:szCs w:val="24"/>
              </w:rPr>
            </w:pPr>
          </w:p>
          <w:p w:rsidR="00781080" w:rsidRPr="00781080" w:rsidRDefault="00781080" w:rsidP="00C8380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color w:val="FF0000"/>
                <w:szCs w:val="24"/>
              </w:rPr>
            </w:pPr>
            <w:r w:rsidRPr="00781080">
              <w:rPr>
                <w:szCs w:val="24"/>
              </w:rPr>
              <w:t>Nedgang i søkning og årsstudiene passer ikke inn i fakultetets bachelormodell</w:t>
            </w:r>
          </w:p>
        </w:tc>
      </w:tr>
    </w:tbl>
    <w:p w:rsidR="00781080" w:rsidRDefault="00781080" w:rsidP="00C83800">
      <w:pPr>
        <w:spacing w:line="240" w:lineRule="auto"/>
        <w:contextualSpacing/>
      </w:pPr>
    </w:p>
    <w:p w:rsidR="00C83800" w:rsidRDefault="00C83800" w:rsidP="00C83800">
      <w:pPr>
        <w:spacing w:line="240" w:lineRule="auto"/>
        <w:contextualSpacing/>
      </w:pPr>
    </w:p>
    <w:p w:rsidR="00C83800" w:rsidRPr="00A56AB7" w:rsidRDefault="00031C0F" w:rsidP="00C83800">
      <w:pPr>
        <w:ind w:left="-14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Fargekoder:</w:t>
      </w:r>
    </w:p>
    <w:p w:rsidR="00C83800" w:rsidRPr="00A56AB7" w:rsidRDefault="00C83800" w:rsidP="00C83800">
      <w:pPr>
        <w:ind w:left="-142"/>
      </w:pPr>
      <w:proofErr w:type="gramStart"/>
      <w:r w:rsidRPr="00A56AB7">
        <w:rPr>
          <w:i/>
          <w:color w:val="FF0000"/>
        </w:rPr>
        <w:t>Opprettelser</w:t>
      </w:r>
      <w:r w:rsidRPr="00A56AB7">
        <w:rPr>
          <w:i/>
        </w:rPr>
        <w:t xml:space="preserve">  -</w:t>
      </w:r>
      <w:proofErr w:type="gramEnd"/>
      <w:r w:rsidRPr="00A56AB7">
        <w:rPr>
          <w:i/>
        </w:rPr>
        <w:t xml:space="preserve">  </w:t>
      </w:r>
      <w:r w:rsidRPr="00A56AB7">
        <w:rPr>
          <w:i/>
          <w:color w:val="000000"/>
        </w:rPr>
        <w:t xml:space="preserve">Mulige opprettelser (avh. </w:t>
      </w:r>
      <w:proofErr w:type="gramStart"/>
      <w:r w:rsidRPr="00A56AB7">
        <w:rPr>
          <w:i/>
          <w:color w:val="000000"/>
        </w:rPr>
        <w:t>av</w:t>
      </w:r>
      <w:proofErr w:type="gramEnd"/>
      <w:r w:rsidRPr="00A56AB7">
        <w:rPr>
          <w:i/>
          <w:color w:val="000000"/>
        </w:rPr>
        <w:t xml:space="preserve"> f.eks. ekstern innvilgning)  -  </w:t>
      </w:r>
      <w:r w:rsidRPr="00A56AB7">
        <w:rPr>
          <w:i/>
          <w:color w:val="0000FF"/>
        </w:rPr>
        <w:t>Nedleggelser</w:t>
      </w:r>
      <w:r w:rsidRPr="00A56AB7">
        <w:rPr>
          <w:i/>
        </w:rPr>
        <w:t xml:space="preserve">  </w:t>
      </w:r>
      <w:r w:rsidRPr="00A56AB7">
        <w:rPr>
          <w:i/>
          <w:color w:val="000000"/>
        </w:rPr>
        <w:t>-</w:t>
      </w:r>
      <w:r w:rsidRPr="00A56AB7">
        <w:rPr>
          <w:i/>
        </w:rPr>
        <w:t xml:space="preserve">  </w:t>
      </w:r>
      <w:r w:rsidR="000060C9">
        <w:rPr>
          <w:i/>
          <w:color w:val="008000"/>
        </w:rPr>
        <w:t>Omlegginger og navneendringer</w:t>
      </w:r>
      <w:r w:rsidRPr="00A56AB7">
        <w:rPr>
          <w:i/>
        </w:rPr>
        <w:t>.</w:t>
      </w:r>
    </w:p>
    <w:p w:rsidR="00C83800" w:rsidRPr="00A56AB7" w:rsidRDefault="00C83800" w:rsidP="00C83800">
      <w:pPr>
        <w:ind w:left="-142"/>
      </w:pPr>
      <w:r w:rsidRPr="00A56AB7">
        <w:t>Styret vedtar tillatelser til opprettelser og nedleggelser av studieprogrammer (studieforskriftens § 13-1), mens fakultetene selv eller bemyndighet forvaltningsutvalg fastsetter studieretninger under de respektive studieprogrammene.</w:t>
      </w:r>
    </w:p>
    <w:p w:rsidR="00C83800" w:rsidRDefault="00C83800" w:rsidP="00C83800">
      <w:pPr>
        <w:ind w:left="-142"/>
      </w:pPr>
      <w:r w:rsidRPr="00A56AB7">
        <w:t>Rektor vedtar tillatelser til opprettelser og nedleggelser av årsstudier (studieforskriftens § 13 a).</w:t>
      </w:r>
    </w:p>
    <w:p w:rsidR="00781080" w:rsidRPr="00C83800" w:rsidRDefault="00C83800" w:rsidP="00C83800">
      <w:pPr>
        <w:pStyle w:val="Overskrift1"/>
        <w:spacing w:line="240" w:lineRule="auto"/>
        <w:contextualSpacing/>
        <w:rPr>
          <w:b/>
          <w:color w:val="auto"/>
        </w:rPr>
      </w:pPr>
      <w:r w:rsidRPr="00C83800">
        <w:rPr>
          <w:b/>
          <w:color w:val="auto"/>
        </w:rPr>
        <w:lastRenderedPageBreak/>
        <w:t>Tabell Del C</w:t>
      </w:r>
    </w:p>
    <w:tbl>
      <w:tblPr>
        <w:tblpPr w:leftFromText="141" w:rightFromText="141" w:vertAnchor="page" w:horzAnchor="margin" w:tblpY="18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232"/>
      </w:tblGrid>
      <w:tr w:rsidR="00C83800" w:rsidRPr="00A56AB7" w:rsidTr="00C83800">
        <w:tc>
          <w:tcPr>
            <w:tcW w:w="1760" w:type="dxa"/>
            <w:shd w:val="clear" w:color="auto" w:fill="B3B3B3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i/>
              </w:rPr>
            </w:pPr>
            <w:r w:rsidRPr="00A56AB7">
              <w:rPr>
                <w:i/>
              </w:rPr>
              <w:t>Fakultet</w:t>
            </w:r>
          </w:p>
        </w:tc>
        <w:tc>
          <w:tcPr>
            <w:tcW w:w="13232" w:type="dxa"/>
            <w:shd w:val="clear" w:color="auto" w:fill="B3B3B3"/>
          </w:tcPr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>-Mulige sammenslåinger gitt at de gjeldende føringer vi har angående gradsbenevnelser og –tildelinger på teknologiområdet ikke</w:t>
            </w:r>
          </w:p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 xml:space="preserve"> </w:t>
            </w:r>
            <w:proofErr w:type="gramStart"/>
            <w:r w:rsidRPr="00C83800">
              <w:t>hadde</w:t>
            </w:r>
            <w:proofErr w:type="gramEnd"/>
            <w:r w:rsidRPr="00C83800">
              <w:t xml:space="preserve"> foreligget (jfr. pkt. 1.3 og 3.1 i Handlingsromrapporten av 18/6-14).</w:t>
            </w: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AB</w:t>
            </w:r>
          </w:p>
        </w:tc>
        <w:tc>
          <w:tcPr>
            <w:tcW w:w="13232" w:type="dxa"/>
            <w:shd w:val="clear" w:color="auto" w:fill="auto"/>
          </w:tcPr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>Ingen kommentarer</w:t>
            </w:r>
          </w:p>
        </w:tc>
      </w:tr>
      <w:tr w:rsidR="00C83800" w:rsidRPr="00A56AB7" w:rsidTr="00C83800">
        <w:trPr>
          <w:trHeight w:val="309"/>
        </w:trPr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DMF</w:t>
            </w:r>
          </w:p>
        </w:tc>
        <w:tc>
          <w:tcPr>
            <w:tcW w:w="13232" w:type="dxa"/>
            <w:shd w:val="clear" w:color="auto" w:fill="auto"/>
          </w:tcPr>
          <w:p w:rsidR="00C83800" w:rsidRPr="00C83800" w:rsidRDefault="00C83800" w:rsidP="00C83800">
            <w:pPr>
              <w:tabs>
                <w:tab w:val="left" w:pos="8448"/>
              </w:tabs>
              <w:spacing w:line="240" w:lineRule="auto"/>
              <w:contextualSpacing/>
            </w:pPr>
            <w:r w:rsidRPr="00C83800">
              <w:t>MSc in Public Health; Her er det en engelskspråklig studieretning (Global Health) per i dag. Fra 2017/2018 kan det bli aktuelt med ytterligere en studieretning. Det er sannsynligvis mest hensiktsmessig om denne tilbys på norsk. Dersom det ikke blir aktuelt å tilby de to retningene under samme paraply, vil vi vurdere å opprette et nytt norskspråklig studieprogram isteden.</w:t>
            </w: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HF</w:t>
            </w:r>
          </w:p>
        </w:tc>
        <w:tc>
          <w:tcPr>
            <w:tcW w:w="13232" w:type="dxa"/>
            <w:shd w:val="clear" w:color="auto" w:fill="auto"/>
          </w:tcPr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>Ingen kommentarer</w:t>
            </w: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</w:pPr>
            <w:r w:rsidRPr="00A56AB7">
              <w:rPr>
                <w:b/>
              </w:rPr>
              <w:t>IME</w:t>
            </w:r>
          </w:p>
        </w:tc>
        <w:tc>
          <w:tcPr>
            <w:tcW w:w="13232" w:type="dxa"/>
            <w:shd w:val="clear" w:color="auto" w:fill="auto"/>
          </w:tcPr>
          <w:p w:rsidR="007355BB" w:rsidRDefault="00C83800" w:rsidP="00C83800">
            <w:pPr>
              <w:spacing w:line="240" w:lineRule="auto"/>
              <w:contextualSpacing/>
            </w:pPr>
            <w:r w:rsidRPr="00C83800">
              <w:t>Foreløpig ingen konkrete forslag til sammenslåinger</w:t>
            </w:r>
            <w:r w:rsidR="007355BB">
              <w:t>, men det kan eventuelt bli en sammenslåing av:</w:t>
            </w:r>
          </w:p>
          <w:p w:rsidR="007355BB" w:rsidRDefault="007355BB" w:rsidP="007355BB">
            <w:pPr>
              <w:pStyle w:val="Listeavsnitt"/>
              <w:numPr>
                <w:ilvl w:val="0"/>
                <w:numId w:val="17"/>
              </w:numPr>
              <w:spacing w:line="240" w:lineRule="auto"/>
            </w:pPr>
            <w:r>
              <w:t>Energibruk og energiplanlegging (MIENERG) med Electric Power Engineering (MSELPOWER)</w:t>
            </w:r>
          </w:p>
          <w:p w:rsidR="00C83800" w:rsidRPr="00C83800" w:rsidRDefault="007355BB" w:rsidP="007355BB">
            <w:pPr>
              <w:pStyle w:val="Listeavsnitt"/>
              <w:numPr>
                <w:ilvl w:val="0"/>
                <w:numId w:val="17"/>
              </w:numPr>
              <w:spacing w:line="240" w:lineRule="auto"/>
            </w:pPr>
            <w:r>
              <w:t xml:space="preserve">Information systems (MSINFOSYST) med det to-årige siv.ing. </w:t>
            </w:r>
            <w:proofErr w:type="gramStart"/>
            <w:r>
              <w:t>programmet</w:t>
            </w:r>
            <w:proofErr w:type="gramEnd"/>
            <w:r>
              <w:t xml:space="preserve"> i Datateknologi (MIDT) ev. med (MIT)</w:t>
            </w: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IVT</w:t>
            </w:r>
          </w:p>
        </w:tc>
        <w:tc>
          <w:tcPr>
            <w:tcW w:w="13232" w:type="dxa"/>
            <w:shd w:val="clear" w:color="auto" w:fill="auto"/>
          </w:tcPr>
          <w:p w:rsidR="00C83800" w:rsidRDefault="00C83800" w:rsidP="00C83800">
            <w:pPr>
              <w:pStyle w:val="Listeavsnitt"/>
              <w:spacing w:after="60" w:line="240" w:lineRule="auto"/>
              <w:ind w:left="0" w:right="85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>Fakultetet konstaterer at det vil være mulig ut fra en faglig vurdering å slå sammen flere nasjonale og internasjonale toårige masterprogrammer som</w:t>
            </w:r>
            <w:r w:rsidR="004808FC">
              <w:rPr>
                <w:rFonts w:asciiTheme="minorHAnsi" w:hAnsiTheme="minorHAnsi"/>
              </w:rPr>
              <w:t>:</w:t>
            </w:r>
          </w:p>
          <w:p w:rsidR="004808FC" w:rsidRPr="00C83800" w:rsidRDefault="004808FC" w:rsidP="00C83800">
            <w:pPr>
              <w:pStyle w:val="Listeavsnitt"/>
              <w:spacing w:after="60" w:line="240" w:lineRule="auto"/>
              <w:ind w:left="0" w:right="85"/>
              <w:rPr>
                <w:rFonts w:asciiTheme="minorHAnsi" w:hAnsiTheme="minorHAnsi"/>
              </w:rPr>
            </w:pP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6"/>
              </w:numPr>
              <w:spacing w:after="60" w:line="240" w:lineRule="auto"/>
              <w:ind w:right="85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 xml:space="preserve">Bygg- og miljøteknikk (MIBYGG), </w:t>
            </w:r>
            <w:proofErr w:type="spellStart"/>
            <w:r w:rsidRPr="00C83800">
              <w:rPr>
                <w:rFonts w:asciiTheme="minorHAnsi" w:hAnsiTheme="minorHAnsi"/>
              </w:rPr>
              <w:t>Geotechnics</w:t>
            </w:r>
            <w:proofErr w:type="spellEnd"/>
            <w:r w:rsidRPr="00C83800">
              <w:rPr>
                <w:rFonts w:asciiTheme="minorHAnsi" w:hAnsiTheme="minorHAnsi"/>
              </w:rPr>
              <w:t xml:space="preserve"> and </w:t>
            </w:r>
            <w:proofErr w:type="spellStart"/>
            <w:r w:rsidRPr="00C83800">
              <w:rPr>
                <w:rFonts w:asciiTheme="minorHAnsi" w:hAnsiTheme="minorHAnsi"/>
              </w:rPr>
              <w:t>Geohazards</w:t>
            </w:r>
            <w:proofErr w:type="spellEnd"/>
            <w:r w:rsidRPr="00C83800">
              <w:rPr>
                <w:rFonts w:asciiTheme="minorHAnsi" w:hAnsiTheme="minorHAnsi"/>
              </w:rPr>
              <w:t xml:space="preserve"> (MSGEOTECH) og </w:t>
            </w:r>
            <w:proofErr w:type="spellStart"/>
            <w:r w:rsidRPr="00C83800">
              <w:rPr>
                <w:rFonts w:asciiTheme="minorHAnsi" w:hAnsiTheme="minorHAnsi"/>
              </w:rPr>
              <w:t>Hydropower</w:t>
            </w:r>
            <w:proofErr w:type="spellEnd"/>
            <w:r w:rsidRPr="00C83800">
              <w:rPr>
                <w:rFonts w:asciiTheme="minorHAnsi" w:hAnsiTheme="minorHAnsi"/>
              </w:rPr>
              <w:t xml:space="preserve"> Development (MSB1)</w:t>
            </w: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6"/>
              </w:numPr>
              <w:spacing w:after="60" w:line="240" w:lineRule="auto"/>
              <w:ind w:right="85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 xml:space="preserve">Petroleum (MIPETR), Petroleum Engineering (MSG1) og Petroleum </w:t>
            </w:r>
            <w:proofErr w:type="spellStart"/>
            <w:r w:rsidRPr="00C83800">
              <w:rPr>
                <w:rFonts w:asciiTheme="minorHAnsi" w:hAnsiTheme="minorHAnsi"/>
              </w:rPr>
              <w:t>Geosciences</w:t>
            </w:r>
            <w:proofErr w:type="spellEnd"/>
            <w:r w:rsidRPr="00C83800">
              <w:rPr>
                <w:rFonts w:asciiTheme="minorHAnsi" w:hAnsiTheme="minorHAnsi"/>
              </w:rPr>
              <w:t xml:space="preserve"> (MSG2)</w:t>
            </w: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6"/>
              </w:numPr>
              <w:spacing w:after="60" w:line="240" w:lineRule="auto"/>
              <w:ind w:right="85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>Produktutvikling og produksjon (MIPROD) og RAMS (MSRAMS)</w:t>
            </w: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6"/>
              </w:numPr>
              <w:spacing w:after="60" w:line="240" w:lineRule="auto"/>
              <w:ind w:right="85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>Marin teknikk (MIMART) og Marine Technology (MSN1)</w:t>
            </w:r>
          </w:p>
          <w:p w:rsidR="00C83800" w:rsidRPr="00C83800" w:rsidRDefault="00C83800" w:rsidP="00C83800">
            <w:pPr>
              <w:spacing w:line="240" w:lineRule="auto"/>
              <w:contextualSpacing/>
            </w:pP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NT</w:t>
            </w:r>
          </w:p>
        </w:tc>
        <w:tc>
          <w:tcPr>
            <w:tcW w:w="13232" w:type="dxa"/>
            <w:shd w:val="clear" w:color="auto" w:fill="auto"/>
          </w:tcPr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>På sikt kan det være aktuelt å slå sammen</w:t>
            </w:r>
            <w:r>
              <w:t>:</w:t>
            </w: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>MIMT og det nye MSMT om handlingsrommet mht gradsbenevnelser og gradstildeling kan endres.</w:t>
            </w:r>
          </w:p>
          <w:p w:rsidR="00C83800" w:rsidRPr="00C83800" w:rsidRDefault="00C83800" w:rsidP="00C8380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 w:rsidRPr="00C83800">
              <w:rPr>
                <w:rFonts w:asciiTheme="minorHAnsi" w:hAnsiTheme="minorHAnsi"/>
              </w:rPr>
              <w:t>MSCHEMENG (Chemical Engineering) og MSPOLYTECH (Polymer Technology) under forutsetning av endringer i nasjonalt regelverk og rapporteringsrutiner.</w:t>
            </w:r>
          </w:p>
          <w:p w:rsidR="00C83800" w:rsidRPr="00C83800" w:rsidRDefault="00C83800" w:rsidP="00C83800">
            <w:pPr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C83800">
              <w:t>MSMACODEV (Marine Coastal Development) og MSAQFOOD (</w:t>
            </w:r>
            <w:proofErr w:type="spellStart"/>
            <w:r w:rsidRPr="00C83800">
              <w:t>Aquatic</w:t>
            </w:r>
            <w:proofErr w:type="spellEnd"/>
            <w:r w:rsidRPr="00C83800">
              <w:t xml:space="preserve"> Food Production – </w:t>
            </w:r>
            <w:proofErr w:type="spellStart"/>
            <w:r w:rsidRPr="00C83800">
              <w:t>Safety</w:t>
            </w:r>
            <w:proofErr w:type="spellEnd"/>
            <w:r w:rsidRPr="00C83800">
              <w:t xml:space="preserve"> and </w:t>
            </w:r>
            <w:proofErr w:type="spellStart"/>
            <w:r w:rsidRPr="00C83800">
              <w:t>Quality</w:t>
            </w:r>
            <w:proofErr w:type="spellEnd"/>
            <w:r w:rsidRPr="00C83800">
              <w:t>) under forutsetning av endringer i nasjonalt regelverk og rapporteringsrutiner.</w:t>
            </w:r>
          </w:p>
        </w:tc>
      </w:tr>
      <w:tr w:rsidR="00C83800" w:rsidRPr="00A56AB7" w:rsidTr="00C83800">
        <w:tc>
          <w:tcPr>
            <w:tcW w:w="1760" w:type="dxa"/>
            <w:shd w:val="clear" w:color="auto" w:fill="auto"/>
          </w:tcPr>
          <w:p w:rsidR="00C83800" w:rsidRPr="00A56AB7" w:rsidRDefault="00C83800" w:rsidP="00C83800">
            <w:pPr>
              <w:spacing w:line="240" w:lineRule="auto"/>
              <w:contextualSpacing/>
              <w:rPr>
                <w:b/>
              </w:rPr>
            </w:pPr>
            <w:r w:rsidRPr="00A56AB7">
              <w:rPr>
                <w:b/>
              </w:rPr>
              <w:t>SVT</w:t>
            </w:r>
          </w:p>
        </w:tc>
        <w:tc>
          <w:tcPr>
            <w:tcW w:w="13232" w:type="dxa"/>
            <w:shd w:val="clear" w:color="auto" w:fill="auto"/>
          </w:tcPr>
          <w:p w:rsidR="00C83800" w:rsidRPr="00C83800" w:rsidRDefault="00C83800" w:rsidP="00C83800">
            <w:pPr>
              <w:spacing w:line="240" w:lineRule="auto"/>
              <w:contextualSpacing/>
            </w:pPr>
            <w:r w:rsidRPr="00C83800">
              <w:t>Ingen kommentarer</w:t>
            </w:r>
          </w:p>
        </w:tc>
      </w:tr>
    </w:tbl>
    <w:p w:rsidR="00781080" w:rsidRPr="00C83800" w:rsidRDefault="00781080" w:rsidP="00C83800">
      <w:pPr>
        <w:pStyle w:val="Overskrift1"/>
        <w:spacing w:line="240" w:lineRule="auto"/>
        <w:contextualSpacing/>
        <w:rPr>
          <w:b/>
          <w:color w:val="auto"/>
        </w:rPr>
      </w:pPr>
    </w:p>
    <w:sectPr w:rsidR="00781080" w:rsidRPr="00C83800" w:rsidSect="007B0A0F">
      <w:type w:val="continuous"/>
      <w:pgSz w:w="16838" w:h="11906" w:orient="landscape" w:code="9"/>
      <w:pgMar w:top="232" w:right="82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1DB"/>
    <w:multiLevelType w:val="hybridMultilevel"/>
    <w:tmpl w:val="9AF4F18E"/>
    <w:lvl w:ilvl="0" w:tplc="CCD48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608F"/>
    <w:multiLevelType w:val="hybridMultilevel"/>
    <w:tmpl w:val="AE7EA4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71661"/>
    <w:multiLevelType w:val="hybridMultilevel"/>
    <w:tmpl w:val="57EC4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95A"/>
    <w:multiLevelType w:val="hybridMultilevel"/>
    <w:tmpl w:val="76AAF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B05"/>
    <w:multiLevelType w:val="hybridMultilevel"/>
    <w:tmpl w:val="89A89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143C"/>
    <w:multiLevelType w:val="hybridMultilevel"/>
    <w:tmpl w:val="DE948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464A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8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8EB"/>
    <w:multiLevelType w:val="hybridMultilevel"/>
    <w:tmpl w:val="98B04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13F76"/>
    <w:multiLevelType w:val="hybridMultilevel"/>
    <w:tmpl w:val="FBDA7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6564"/>
    <w:multiLevelType w:val="hybridMultilevel"/>
    <w:tmpl w:val="2ECCAF3E"/>
    <w:lvl w:ilvl="0" w:tplc="5BE25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803EE"/>
    <w:multiLevelType w:val="hybridMultilevel"/>
    <w:tmpl w:val="14C2A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42BE"/>
    <w:multiLevelType w:val="hybridMultilevel"/>
    <w:tmpl w:val="55F63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14F6D"/>
    <w:multiLevelType w:val="hybridMultilevel"/>
    <w:tmpl w:val="80720B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85AC5"/>
    <w:multiLevelType w:val="hybridMultilevel"/>
    <w:tmpl w:val="890642E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69ED7363"/>
    <w:multiLevelType w:val="hybridMultilevel"/>
    <w:tmpl w:val="2264B4CC"/>
    <w:lvl w:ilvl="0" w:tplc="9E9C75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2BBE"/>
    <w:multiLevelType w:val="hybridMultilevel"/>
    <w:tmpl w:val="28E68BCE"/>
    <w:lvl w:ilvl="0" w:tplc="315AC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2DE3"/>
    <w:multiLevelType w:val="hybridMultilevel"/>
    <w:tmpl w:val="C97C1750"/>
    <w:lvl w:ilvl="0" w:tplc="ABC88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0D36"/>
    <w:multiLevelType w:val="hybridMultilevel"/>
    <w:tmpl w:val="FA80B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27AFF"/>
    <w:multiLevelType w:val="hybridMultilevel"/>
    <w:tmpl w:val="4E6850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0"/>
    <w:rsid w:val="000060C9"/>
    <w:rsid w:val="00031C0F"/>
    <w:rsid w:val="0010615C"/>
    <w:rsid w:val="00335303"/>
    <w:rsid w:val="00445EEA"/>
    <w:rsid w:val="004808FC"/>
    <w:rsid w:val="00593208"/>
    <w:rsid w:val="005C5BCA"/>
    <w:rsid w:val="0069093D"/>
    <w:rsid w:val="007355BB"/>
    <w:rsid w:val="00781080"/>
    <w:rsid w:val="007B0A0F"/>
    <w:rsid w:val="007B5913"/>
    <w:rsid w:val="0095626F"/>
    <w:rsid w:val="0095658A"/>
    <w:rsid w:val="009B527B"/>
    <w:rsid w:val="00A135C4"/>
    <w:rsid w:val="00A62B72"/>
    <w:rsid w:val="00C83800"/>
    <w:rsid w:val="00D235D8"/>
    <w:rsid w:val="00D33C82"/>
    <w:rsid w:val="00E60725"/>
    <w:rsid w:val="00E65B39"/>
    <w:rsid w:val="00F113DB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8937-64CC-471C-9A4B-907E66F4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10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1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78108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2936</Words>
  <Characters>15567</Characters>
  <Application>Microsoft Office Word</Application>
  <DocSecurity>4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Richard Stebergløkken</dc:creator>
  <cp:keywords/>
  <dc:description/>
  <cp:lastModifiedBy>Jon Inge Resell</cp:lastModifiedBy>
  <cp:revision>2</cp:revision>
  <cp:lastPrinted>2015-05-27T08:50:00Z</cp:lastPrinted>
  <dcterms:created xsi:type="dcterms:W3CDTF">2015-06-08T09:59:00Z</dcterms:created>
  <dcterms:modified xsi:type="dcterms:W3CDTF">2015-06-08T09:59:00Z</dcterms:modified>
</cp:coreProperties>
</file>