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78" w:rsidRDefault="004E7864">
      <w:pPr>
        <w:pStyle w:val="Hode"/>
        <w:tabs>
          <w:tab w:val="right" w:pos="9809"/>
        </w:tabs>
        <w:spacing w:line="240" w:lineRule="exact"/>
        <w:rPr>
          <w:b/>
        </w:rPr>
      </w:pPr>
      <w:r>
        <w:rPr>
          <w:b/>
        </w:rPr>
        <w:t>NTNU</w:t>
      </w:r>
      <w:r>
        <w:rPr>
          <w:b/>
        </w:rPr>
        <w:tab/>
        <w:t>S</w:t>
      </w:r>
      <w:r w:rsidR="00996C78">
        <w:rPr>
          <w:b/>
        </w:rPr>
        <w:t xml:space="preserve">-sak </w:t>
      </w:r>
      <w:bookmarkStart w:id="0" w:name="Ksak"/>
      <w:bookmarkEnd w:id="0"/>
      <w:r w:rsidR="002C0F6F">
        <w:rPr>
          <w:b/>
        </w:rPr>
        <w:t>5</w:t>
      </w:r>
      <w:r w:rsidR="00533EC7">
        <w:rPr>
          <w:b/>
        </w:rPr>
        <w:t>/15</w:t>
      </w:r>
    </w:p>
    <w:p w:rsidR="00996C78" w:rsidRDefault="00996C78">
      <w:pPr>
        <w:pStyle w:val="Hode"/>
        <w:tabs>
          <w:tab w:val="right" w:pos="9809"/>
        </w:tabs>
        <w:spacing w:line="240" w:lineRule="exact"/>
        <w:rPr>
          <w:b/>
        </w:rPr>
      </w:pPr>
      <w:r>
        <w:rPr>
          <w:b/>
        </w:rPr>
        <w:t>Norges teknisk-naturvitenskapelige</w:t>
      </w:r>
    </w:p>
    <w:p w:rsidR="00996C78" w:rsidRDefault="00996C78">
      <w:pPr>
        <w:pStyle w:val="Hode"/>
        <w:tabs>
          <w:tab w:val="right" w:pos="9809"/>
        </w:tabs>
        <w:spacing w:line="240" w:lineRule="exact"/>
        <w:rPr>
          <w:b/>
        </w:rPr>
      </w:pPr>
      <w:r>
        <w:rPr>
          <w:b/>
        </w:rPr>
        <w:t>universitet</w:t>
      </w:r>
    </w:p>
    <w:p w:rsidR="00996C78" w:rsidRPr="0007315F" w:rsidRDefault="00D73929">
      <w:pPr>
        <w:tabs>
          <w:tab w:val="right" w:pos="9809"/>
        </w:tabs>
        <w:rPr>
          <w:lang w:val="nn-NO"/>
        </w:rPr>
      </w:pPr>
      <w:bookmarkStart w:id="1" w:name="Dato"/>
      <w:bookmarkEnd w:id="1"/>
      <w:r>
        <w:rPr>
          <w:lang w:val="nn-NO"/>
        </w:rPr>
        <w:t>03.03</w:t>
      </w:r>
      <w:r w:rsidR="00533EC7" w:rsidRPr="0007315F">
        <w:rPr>
          <w:lang w:val="nn-NO"/>
        </w:rPr>
        <w:t>.2015</w:t>
      </w:r>
      <w:r w:rsidR="00996C78" w:rsidRPr="0007315F">
        <w:rPr>
          <w:lang w:val="nn-NO"/>
        </w:rPr>
        <w:t xml:space="preserve"> </w:t>
      </w:r>
      <w:bookmarkStart w:id="2" w:name="Init"/>
      <w:bookmarkEnd w:id="2"/>
      <w:r w:rsidR="00533EC7" w:rsidRPr="0007315F">
        <w:rPr>
          <w:lang w:val="nn-NO"/>
        </w:rPr>
        <w:t>RE/AMS</w:t>
      </w:r>
    </w:p>
    <w:p w:rsidR="00996C78" w:rsidRPr="0007315F" w:rsidRDefault="00996C78" w:rsidP="00533EC7">
      <w:pPr>
        <w:pStyle w:val="Hode"/>
        <w:tabs>
          <w:tab w:val="right" w:pos="9809"/>
        </w:tabs>
        <w:rPr>
          <w:lang w:val="nn-NO"/>
        </w:rPr>
      </w:pPr>
      <w:r w:rsidRPr="0007315F">
        <w:rPr>
          <w:lang w:val="nn-NO"/>
        </w:rPr>
        <w:t xml:space="preserve">Arkiv: </w:t>
      </w:r>
      <w:bookmarkStart w:id="3" w:name="Kode"/>
      <w:bookmarkEnd w:id="3"/>
      <w:r w:rsidR="00533EC7" w:rsidRPr="0007315F">
        <w:rPr>
          <w:lang w:val="nn-NO"/>
        </w:rPr>
        <w:t>2015/1542</w:t>
      </w:r>
      <w:r w:rsidRPr="0007315F">
        <w:rPr>
          <w:lang w:val="nn-NO"/>
        </w:rPr>
        <w:tab/>
        <w:t xml:space="preserve"> </w:t>
      </w:r>
      <w:bookmarkStart w:id="4" w:name="para"/>
      <w:bookmarkEnd w:id="4"/>
    </w:p>
    <w:p w:rsidR="0007315F" w:rsidRPr="0007315F" w:rsidRDefault="0007315F">
      <w:pPr>
        <w:pStyle w:val="Hode"/>
        <w:tabs>
          <w:tab w:val="right" w:pos="9809"/>
        </w:tabs>
        <w:spacing w:line="240" w:lineRule="exact"/>
        <w:rPr>
          <w:lang w:val="nn-NO"/>
        </w:rPr>
      </w:pPr>
      <w:r w:rsidRPr="0007315F">
        <w:rPr>
          <w:lang w:val="nn-NO"/>
        </w:rPr>
        <w:t xml:space="preserve">Saksansvarlig: </w:t>
      </w:r>
      <w:r w:rsidR="00C41640">
        <w:rPr>
          <w:lang w:val="nn-NO"/>
        </w:rPr>
        <w:t xml:space="preserve"> </w:t>
      </w:r>
      <w:r w:rsidRPr="0007315F">
        <w:rPr>
          <w:lang w:val="nn-NO"/>
        </w:rPr>
        <w:t>Berit Kjeldstad</w:t>
      </w:r>
    </w:p>
    <w:p w:rsidR="00996C78" w:rsidRPr="00533EC7" w:rsidRDefault="00533EC7">
      <w:pPr>
        <w:pStyle w:val="Hode"/>
        <w:tabs>
          <w:tab w:val="right" w:pos="9809"/>
        </w:tabs>
        <w:spacing w:line="240" w:lineRule="exact"/>
      </w:pPr>
      <w:r w:rsidRPr="00533EC7">
        <w:t>Saksbehandler: Anne Marie Snekvik</w:t>
      </w:r>
    </w:p>
    <w:p w:rsidR="00996C78" w:rsidRDefault="00996C78">
      <w:pPr>
        <w:pStyle w:val="Hode"/>
        <w:tabs>
          <w:tab w:val="right" w:pos="9809"/>
        </w:tabs>
        <w:spacing w:line="240" w:lineRule="exact"/>
      </w:pPr>
    </w:p>
    <w:p w:rsidR="00996C78" w:rsidRDefault="00996C78">
      <w:pPr>
        <w:pStyle w:val="Hode"/>
        <w:tabs>
          <w:tab w:val="right" w:pos="9809"/>
        </w:tabs>
        <w:spacing w:line="240" w:lineRule="exact"/>
      </w:pPr>
    </w:p>
    <w:p w:rsidR="00996C78" w:rsidRDefault="00996C78">
      <w:pPr>
        <w:tabs>
          <w:tab w:val="right" w:pos="9809"/>
        </w:tabs>
        <w:jc w:val="center"/>
        <w:rPr>
          <w:b/>
          <w:sz w:val="26"/>
        </w:rPr>
      </w:pPr>
      <w:r>
        <w:rPr>
          <w:b/>
          <w:sz w:val="26"/>
        </w:rPr>
        <w:t>N O T A T</w:t>
      </w:r>
    </w:p>
    <w:p w:rsidR="00996C78" w:rsidRDefault="00996C78">
      <w:pPr>
        <w:tabs>
          <w:tab w:val="right" w:pos="9809"/>
        </w:tabs>
        <w:rPr>
          <w:b/>
        </w:rPr>
      </w:pPr>
    </w:p>
    <w:p w:rsidR="00996C78" w:rsidRDefault="00996C78">
      <w:pPr>
        <w:tabs>
          <w:tab w:val="left" w:pos="567"/>
          <w:tab w:val="right" w:pos="9809"/>
        </w:tabs>
      </w:pPr>
      <w:proofErr w:type="gramStart"/>
      <w:r>
        <w:t>Til:</w:t>
      </w:r>
      <w:r>
        <w:tab/>
      </w:r>
      <w:proofErr w:type="gramEnd"/>
      <w:r w:rsidR="004E7864">
        <w:t>Styret</w:t>
      </w:r>
    </w:p>
    <w:p w:rsidR="00996C78" w:rsidRDefault="00996C78">
      <w:pPr>
        <w:tabs>
          <w:tab w:val="left" w:pos="567"/>
          <w:tab w:val="right" w:pos="9809"/>
        </w:tabs>
      </w:pPr>
      <w:proofErr w:type="gramStart"/>
      <w:r>
        <w:t>Fra:</w:t>
      </w:r>
      <w:r>
        <w:tab/>
      </w:r>
      <w:proofErr w:type="gramEnd"/>
      <w:r w:rsidR="002B58D0">
        <w:t>Rektor</w:t>
      </w:r>
    </w:p>
    <w:p w:rsidR="00996C78" w:rsidRDefault="00996C78">
      <w:pPr>
        <w:tabs>
          <w:tab w:val="left" w:pos="567"/>
          <w:tab w:val="right" w:pos="9809"/>
        </w:tabs>
        <w:ind w:left="567" w:hanging="567"/>
        <w:rPr>
          <w:b/>
        </w:rPr>
      </w:pPr>
      <w:proofErr w:type="gramStart"/>
      <w:r>
        <w:rPr>
          <w:b/>
        </w:rPr>
        <w:t>Om:</w:t>
      </w:r>
      <w:r>
        <w:rPr>
          <w:b/>
        </w:rPr>
        <w:tab/>
      </w:r>
      <w:bookmarkStart w:id="5" w:name="Om"/>
      <w:bookmarkEnd w:id="5"/>
      <w:proofErr w:type="gramEnd"/>
      <w:r w:rsidR="00533EC7">
        <w:rPr>
          <w:b/>
        </w:rPr>
        <w:t>Jentepoeng ved opptak til sivilingeniørstudiene</w:t>
      </w:r>
    </w:p>
    <w:p w:rsidR="00996C78" w:rsidRDefault="00996C78">
      <w:pPr>
        <w:tabs>
          <w:tab w:val="left" w:pos="567"/>
          <w:tab w:val="right" w:pos="9809"/>
        </w:tabs>
      </w:pPr>
    </w:p>
    <w:p w:rsidR="00996C78" w:rsidRDefault="00996C78">
      <w:pPr>
        <w:pBdr>
          <w:top w:val="single" w:sz="6" w:space="1" w:color="auto"/>
        </w:pBdr>
      </w:pPr>
    </w:p>
    <w:p w:rsidR="00996C78" w:rsidRDefault="00996C78">
      <w:bookmarkStart w:id="6" w:name="Start"/>
      <w:bookmarkEnd w:id="6"/>
    </w:p>
    <w:p w:rsidR="00996C78" w:rsidRDefault="00996C78"/>
    <w:p w:rsidR="00996C78" w:rsidRDefault="00996C78">
      <w:pPr>
        <w:rPr>
          <w:b/>
          <w:u w:val="single"/>
        </w:rPr>
      </w:pPr>
      <w:r>
        <w:rPr>
          <w:b/>
          <w:u w:val="single"/>
        </w:rPr>
        <w:t>Tilråding:</w:t>
      </w:r>
    </w:p>
    <w:p w:rsidR="00D73929" w:rsidRDefault="00D73929">
      <w:pPr>
        <w:rPr>
          <w:b/>
          <w:u w:val="single"/>
        </w:rPr>
      </w:pPr>
    </w:p>
    <w:p w:rsidR="00DF3ACE" w:rsidRDefault="00DF3ACE" w:rsidP="00B5075C">
      <w:pPr>
        <w:pStyle w:val="Listeavsnitt"/>
        <w:numPr>
          <w:ilvl w:val="0"/>
          <w:numId w:val="2"/>
        </w:numPr>
        <w:ind w:left="360"/>
        <w:rPr>
          <w:lang w:val="nb-NO"/>
        </w:rPr>
      </w:pPr>
    </w:p>
    <w:p w:rsidR="00996C78" w:rsidRPr="00DF3ACE" w:rsidRDefault="00D73929" w:rsidP="00DF3ACE">
      <w:r>
        <w:t xml:space="preserve">Styret foreslår overfor Kunnskapsdepartementet at </w:t>
      </w:r>
      <w:r w:rsidR="00B5075C" w:rsidRPr="00DF3ACE">
        <w:t>jentepoeng</w:t>
      </w:r>
      <w:r>
        <w:t>ene</w:t>
      </w:r>
      <w:r w:rsidR="00B5075C" w:rsidRPr="00DF3ACE">
        <w:t xml:space="preserve"> </w:t>
      </w:r>
      <w:r>
        <w:t>avvikles f</w:t>
      </w:r>
      <w:r w:rsidRPr="00DF3ACE">
        <w:t xml:space="preserve">ra og med opptaket 2017 </w:t>
      </w:r>
      <w:r w:rsidR="00B5075C" w:rsidRPr="00DF3ACE">
        <w:t>på følgende studieprogram:</w:t>
      </w:r>
    </w:p>
    <w:p w:rsidR="00B5075C" w:rsidRDefault="00B5075C" w:rsidP="00B5075C">
      <w:pPr>
        <w:pStyle w:val="Listeavsnitt"/>
        <w:ind w:left="360"/>
        <w:rPr>
          <w:lang w:val="nb-NO"/>
        </w:rPr>
      </w:pPr>
      <w:r>
        <w:rPr>
          <w:lang w:val="nb-NO"/>
        </w:rPr>
        <w:t>-Teknisk geofag</w:t>
      </w:r>
    </w:p>
    <w:p w:rsidR="00B5075C" w:rsidRDefault="00B5075C" w:rsidP="00B5075C">
      <w:pPr>
        <w:pStyle w:val="Listeavsnitt"/>
        <w:ind w:left="360"/>
        <w:rPr>
          <w:lang w:val="nb-NO"/>
        </w:rPr>
      </w:pPr>
      <w:r>
        <w:rPr>
          <w:lang w:val="nb-NO"/>
        </w:rPr>
        <w:t>-Petroleumsfag</w:t>
      </w:r>
    </w:p>
    <w:p w:rsidR="00B5075C" w:rsidRDefault="00B5075C" w:rsidP="00B5075C">
      <w:pPr>
        <w:pStyle w:val="Listeavsnitt"/>
        <w:ind w:left="360"/>
        <w:rPr>
          <w:lang w:val="nb-NO"/>
        </w:rPr>
      </w:pPr>
      <w:r>
        <w:rPr>
          <w:lang w:val="nb-NO"/>
        </w:rPr>
        <w:t>-Industriell økonomi</w:t>
      </w:r>
    </w:p>
    <w:p w:rsidR="00B5075C" w:rsidRDefault="00B5075C" w:rsidP="00B5075C">
      <w:pPr>
        <w:pStyle w:val="Listeavsnitt"/>
        <w:ind w:left="360"/>
        <w:rPr>
          <w:lang w:val="nb-NO"/>
        </w:rPr>
      </w:pPr>
      <w:r>
        <w:rPr>
          <w:lang w:val="nb-NO"/>
        </w:rPr>
        <w:t>-Nanoteknologi</w:t>
      </w:r>
    </w:p>
    <w:p w:rsidR="00D73929" w:rsidRDefault="00D73929" w:rsidP="00B5075C">
      <w:pPr>
        <w:pStyle w:val="Listeavsnitt"/>
        <w:ind w:left="360"/>
        <w:rPr>
          <w:lang w:val="nb-NO"/>
        </w:rPr>
      </w:pPr>
    </w:p>
    <w:p w:rsidR="00DF3ACE" w:rsidRDefault="00B5075C" w:rsidP="00DF3ACE">
      <w:r>
        <w:t xml:space="preserve">2.   </w:t>
      </w:r>
    </w:p>
    <w:p w:rsidR="00DF3ACE" w:rsidRDefault="00B5075C" w:rsidP="00DF3ACE">
      <w:r>
        <w:t xml:space="preserve">Rektor skal etter hvert opptak vurdere om det er studieprogram hvor jentepoengene </w:t>
      </w:r>
      <w:r w:rsidR="00D73929">
        <w:t>skal</w:t>
      </w:r>
      <w:r>
        <w:t xml:space="preserve"> avvikles. Når </w:t>
      </w:r>
      <w:r w:rsidR="00DF3ACE">
        <w:t xml:space="preserve">kvinneandelen i yrkeslivet kommer opp i 35 % skal jentepoengene avvikles. For studieprogram der det er lavere andel kvinner i yrkeslivet skal jentepoengene opphøre når jenteandelen som har fått tilbud om studieplass, har vært 50 % eller mer de siste tre årene. </w:t>
      </w:r>
    </w:p>
    <w:p w:rsidR="0007315F" w:rsidRDefault="00C41640" w:rsidP="00DF3ACE">
      <w:r>
        <w:t>_________________________________________________________________________________</w:t>
      </w:r>
    </w:p>
    <w:p w:rsidR="0007315F" w:rsidRDefault="0007315F" w:rsidP="00DF3ACE"/>
    <w:p w:rsidR="00996C78" w:rsidRDefault="00996C78"/>
    <w:p w:rsidR="00533EC7" w:rsidRDefault="00533EC7" w:rsidP="00533EC7">
      <w:pPr>
        <w:rPr>
          <w:b/>
          <w:sz w:val="28"/>
          <w:szCs w:val="28"/>
        </w:rPr>
      </w:pPr>
      <w:r w:rsidRPr="002E05EF">
        <w:rPr>
          <w:b/>
          <w:sz w:val="28"/>
          <w:szCs w:val="28"/>
        </w:rPr>
        <w:t>Bakgrunn</w:t>
      </w:r>
    </w:p>
    <w:p w:rsidR="00533EC7" w:rsidRPr="00BF4A19" w:rsidRDefault="00533EC7" w:rsidP="00533EC7"/>
    <w:p w:rsidR="003455D9" w:rsidRDefault="00533EC7" w:rsidP="00533EC7">
      <w:r w:rsidRPr="00BF4A19">
        <w:t xml:space="preserve">Ved sivilingeniørstudiene ved NTNU, unntatt industriell design og industriell kjemi og bioteknologi, gis det ved opptak to </w:t>
      </w:r>
      <w:proofErr w:type="spellStart"/>
      <w:r w:rsidRPr="00BF4A19">
        <w:t>tilleggspoeng</w:t>
      </w:r>
      <w:proofErr w:type="spellEnd"/>
      <w:r w:rsidRPr="00BF4A19">
        <w:t xml:space="preserve"> for jenter (15 av 17 programmer). </w:t>
      </w:r>
      <w:r w:rsidR="0007315F">
        <w:t xml:space="preserve">Dette gjelder ved opptak til de 5-årige studiene. Det gis ikke jentepoeng ved opptak til tilsvarende 2-årige studier. </w:t>
      </w:r>
    </w:p>
    <w:p w:rsidR="003455D9" w:rsidRDefault="003455D9" w:rsidP="00533EC7"/>
    <w:p w:rsidR="00533EC7" w:rsidRPr="00B07ED2" w:rsidRDefault="00BC6930" w:rsidP="00533EC7">
      <w:r>
        <w:t xml:space="preserve">Styret har bedt om </w:t>
      </w:r>
      <w:r w:rsidR="003455D9">
        <w:t>at spørsmålet om jentepoeng behandles i Styret. J</w:t>
      </w:r>
      <w:r w:rsidR="00533EC7">
        <w:t xml:space="preserve">entepoeng ble innført ved alle avdelinger ved daværende NTH. </w:t>
      </w:r>
      <w:proofErr w:type="spellStart"/>
      <w:r w:rsidR="00533EC7">
        <w:t>Tilleggspoeng</w:t>
      </w:r>
      <w:proofErr w:type="spellEnd"/>
      <w:r w:rsidR="00533EC7">
        <w:t xml:space="preserve"> for jenter er </w:t>
      </w:r>
      <w:r w:rsidR="00533EC7" w:rsidRPr="00B07ED2">
        <w:t xml:space="preserve">begrunnet i at jenter har vært underrepresentert både i sivilingeniørstudiet og yrkeslivet. Jentepoeng anses som et viktig tiltak for å rekruttere flere jenter til sivilingeniørstudiet og bidra til at det blir flere kvinner i yrkeslivet innenfor teknologi, og dermed bidra til likestilling mellom kjønnene. </w:t>
      </w:r>
      <w:r w:rsidR="00533EC7">
        <w:t xml:space="preserve">Dette anses som en viktig del av vårt samfunnsoppdrag. </w:t>
      </w:r>
      <w:r w:rsidR="00533EC7" w:rsidRPr="00B07ED2">
        <w:t xml:space="preserve">Samtidig fører en ordning med kjønnspoeng til at jenter med lavere </w:t>
      </w:r>
      <w:r w:rsidR="0007315F">
        <w:t xml:space="preserve">karaktersnitt </w:t>
      </w:r>
      <w:r w:rsidR="00033A50">
        <w:t>f</w:t>
      </w:r>
      <w:r w:rsidR="00533EC7" w:rsidRPr="00B07ED2">
        <w:t xml:space="preserve">år opptak fremfor </w:t>
      </w:r>
      <w:r w:rsidR="00533EC7">
        <w:t xml:space="preserve">gutter med høyere snitt, og det kan oppleves urettferdig for guttene. </w:t>
      </w:r>
      <w:r w:rsidR="00533EC7" w:rsidRPr="00B07ED2">
        <w:t xml:space="preserve">  </w:t>
      </w:r>
    </w:p>
    <w:p w:rsidR="00533EC7" w:rsidRPr="00B07ED2" w:rsidRDefault="00533EC7" w:rsidP="00533EC7"/>
    <w:p w:rsidR="00533EC7" w:rsidRDefault="00533EC7" w:rsidP="00533EC7">
      <w:r w:rsidRPr="00B07ED2">
        <w:t xml:space="preserve">Generelt i høyere utdanning er jentene i flertall. </w:t>
      </w:r>
      <w:proofErr w:type="spellStart"/>
      <w:r w:rsidRPr="00B07ED2">
        <w:t>Ca</w:t>
      </w:r>
      <w:proofErr w:type="spellEnd"/>
      <w:r w:rsidRPr="00B07ED2">
        <w:t xml:space="preserve"> 60 % av studentene i høyere utdanning er jenter. Kvinneandelen av professorene ved universitetene ligger langt lavere. Her er </w:t>
      </w:r>
      <w:proofErr w:type="spellStart"/>
      <w:r w:rsidRPr="00B07ED2">
        <w:t>ca</w:t>
      </w:r>
      <w:proofErr w:type="spellEnd"/>
      <w:r w:rsidRPr="00B07ED2">
        <w:t xml:space="preserve"> 25 % kvinner med nokså store variasjoner innenfor ulike fag, med teknologi som lavest andel. Det er også stor forskjell </w:t>
      </w:r>
      <w:r w:rsidRPr="00B07ED2">
        <w:lastRenderedPageBreak/>
        <w:t>på hvilke studier jentene søker seg til. Det blir stadig flere jenter som søker seg til sivilingeniørstudiene, men det er færre jenter enn gutter som blir tatt opp, og kvinnelige sivilingeniører er fortsatt klart underrepresentert i yrkeslivet. Ved flere av sivilingeniørprogrammene var andelen jenter som ble tilbudt plass 40 – 50 % ved siste opptak. Jentepoeng er høyst sannsynlig en viktig årsak til dette</w:t>
      </w:r>
      <w:r w:rsidR="0007315F">
        <w:t xml:space="preserve">. </w:t>
      </w:r>
    </w:p>
    <w:p w:rsidR="00533EC7" w:rsidRDefault="00533EC7" w:rsidP="00533EC7"/>
    <w:p w:rsidR="0007315F" w:rsidRDefault="00533EC7" w:rsidP="00533EC7">
      <w:r>
        <w:t xml:space="preserve">Figuren </w:t>
      </w:r>
      <w:r w:rsidR="0007315F">
        <w:t>under</w:t>
      </w:r>
      <w:r>
        <w:t xml:space="preserve"> viser andel av tilbud om studieplass på teknologistudier ved NTNU som er gitt til kvinner fra 1997 og frem til i dag (Kilde: Felles Studentsystem). Den viser at det har vært en jevn økning i andel jenter som har fått tilbud om studieplass. Det var en nedgang i perioden 2003- 2005, men vi ser en stigning igjen fra 2006. </w:t>
      </w:r>
    </w:p>
    <w:p w:rsidR="0007315F" w:rsidRDefault="0007315F" w:rsidP="00533EC7"/>
    <w:p w:rsidR="00533EC7" w:rsidRDefault="00533EC7" w:rsidP="00533EC7">
      <w:r>
        <w:t xml:space="preserve">  </w:t>
      </w:r>
    </w:p>
    <w:p w:rsidR="00533EC7" w:rsidRDefault="009F68E6" w:rsidP="00533EC7">
      <w:pPr>
        <w:jc w:val="center"/>
      </w:pPr>
      <w:r w:rsidRPr="00E07954">
        <w:rPr>
          <w:noProof/>
        </w:rPr>
        <w:drawing>
          <wp:inline distT="0" distB="0" distL="0" distR="0">
            <wp:extent cx="4544060" cy="2089150"/>
            <wp:effectExtent l="0" t="0" r="8890" b="6350"/>
            <wp:docPr id="2"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10F8" w:rsidRDefault="003C10F8" w:rsidP="00533EC7">
      <w:r>
        <w:t xml:space="preserve">                        </w:t>
      </w:r>
    </w:p>
    <w:p w:rsidR="00533EC7" w:rsidRPr="003C10F8" w:rsidRDefault="003C10F8" w:rsidP="003C10F8">
      <w:pPr>
        <w:ind w:left="709"/>
        <w:rPr>
          <w:sz w:val="18"/>
          <w:szCs w:val="18"/>
        </w:rPr>
      </w:pPr>
      <w:r>
        <w:t xml:space="preserve">               </w:t>
      </w:r>
      <w:r>
        <w:rPr>
          <w:sz w:val="18"/>
          <w:szCs w:val="18"/>
        </w:rPr>
        <w:t>A</w:t>
      </w:r>
      <w:r w:rsidRPr="003C10F8">
        <w:rPr>
          <w:sz w:val="18"/>
          <w:szCs w:val="18"/>
        </w:rPr>
        <w:t>ndel av tilbud om studieplass på teknologistudier ved NTNU som er gitt til kvinner</w:t>
      </w:r>
      <w:r w:rsidR="00033A50">
        <w:rPr>
          <w:sz w:val="18"/>
          <w:szCs w:val="18"/>
        </w:rPr>
        <w:t>.</w:t>
      </w:r>
    </w:p>
    <w:p w:rsidR="00533EC7" w:rsidRPr="00B07ED2" w:rsidRDefault="00533EC7" w:rsidP="00533EC7"/>
    <w:p w:rsidR="00533EC7" w:rsidRDefault="00533EC7" w:rsidP="00533EC7"/>
    <w:p w:rsidR="00533EC7" w:rsidRPr="00B07ED2" w:rsidRDefault="00533EC7" w:rsidP="00533EC7">
      <w:pPr>
        <w:rPr>
          <w:color w:val="262626"/>
        </w:rPr>
      </w:pPr>
      <w:r w:rsidRPr="00B07ED2">
        <w:t xml:space="preserve">Ordningen med jentepoeng er omstridt, og temaet har vært i media ved flere anledninger de siste årene. Norsk studentunion (NSO) har uttalt at de </w:t>
      </w:r>
      <w:r w:rsidRPr="00B07ED2">
        <w:rPr>
          <w:color w:val="262626"/>
        </w:rPr>
        <w:t>er for å ta i bruk kjønnspoeng ved opptak til høyere utdanning på studieretninger der ett kjønn er representert med under 25 prosent, men at kjønnspoeng kun skal innføres som et virkemiddel dersom institusjonene ser at andre tiltak ikke gir ønsket kjønnsbalanse over tid.</w:t>
      </w:r>
    </w:p>
    <w:p w:rsidR="00533EC7" w:rsidRPr="00B07ED2" w:rsidRDefault="00533EC7" w:rsidP="00533EC7">
      <w:r w:rsidRPr="00B07ED2">
        <w:t xml:space="preserve"> </w:t>
      </w:r>
    </w:p>
    <w:p w:rsidR="00533EC7" w:rsidRPr="00B07ED2" w:rsidRDefault="00533EC7" w:rsidP="00533EC7">
      <w:r w:rsidRPr="00B07ED2">
        <w:t xml:space="preserve">I tillegg til jentepoeng er det ved NTNU også jentekvote på datateknikk (30 plasser) og kommunikasjonsteknologi (15 plasser), studieprogram som særlig har slitt med å rekruttere jenter. Ved andre institusjoner gis det jentepoeng ved opptak til ingeniørutdanningen, maritim utdanning og landbruksstudier. </w:t>
      </w:r>
    </w:p>
    <w:p w:rsidR="00533EC7" w:rsidRPr="00B07ED2" w:rsidRDefault="00533EC7" w:rsidP="00533EC7"/>
    <w:p w:rsidR="00533EC7" w:rsidRPr="00B07ED2" w:rsidRDefault="00533EC7" w:rsidP="00533EC7">
      <w:r w:rsidRPr="00B07ED2">
        <w:t xml:space="preserve">Realfagene gir ikke jentepoeng, men jentene er godt representert på flere av studiene ved NTNU, unntatt fysikk. </w:t>
      </w:r>
    </w:p>
    <w:p w:rsidR="00533EC7" w:rsidRPr="00B07ED2" w:rsidRDefault="00533EC7" w:rsidP="00533EC7"/>
    <w:p w:rsidR="00533EC7" w:rsidRPr="00B07ED2" w:rsidRDefault="00533EC7" w:rsidP="00533EC7">
      <w:r w:rsidRPr="00B07ED2">
        <w:t xml:space="preserve">NTNU har også andre rekrutteringstiltak spesielt rettet mot jenter som Ada-prosjektet med bl.a. </w:t>
      </w:r>
      <w:proofErr w:type="spellStart"/>
      <w:r w:rsidRPr="00B07ED2">
        <w:t>Techno</w:t>
      </w:r>
      <w:proofErr w:type="spellEnd"/>
      <w:r w:rsidRPr="00B07ED2">
        <w:t>-camp spesielt rettet mot IKT-studier og Jentedagen som generelt er rettet mot teknologi og realfag.  Det jobbes aktivt både med å få flere jenter til å søke og ulike tiltak for å beholde de som kommer inn på studiet.</w:t>
      </w:r>
    </w:p>
    <w:p w:rsidR="00533EC7" w:rsidRPr="00B07ED2" w:rsidRDefault="00533EC7" w:rsidP="00533EC7"/>
    <w:p w:rsidR="00533EC7" w:rsidRPr="00B07ED2" w:rsidRDefault="00533EC7" w:rsidP="00533EC7">
      <w:r w:rsidRPr="00B07ED2">
        <w:t>Andelen jenter som ble tilbudt plass ved sivilingeniørstudiet ved opptaket i 2014 var for alle programmene til sammen 38 %, mens det året før var 36 % og i 2010 30 %. Vi ser altså en jevn fremgang. Andelen jenter som ble uteksaminert har de siste tre årene ligget på rundt 30 %. På sikt vil dette føre til at det blir flere kvinner i yrkeslivet med sivilingeniørutdanning</w:t>
      </w:r>
      <w:r>
        <w:t xml:space="preserve">. Selv om det er flere studier som etter hvert har fått jevn kjønnsbalanse, er det også flere studier hvor jenteandelen er lav, særlig IKT-studiene. I yrkeslivet er balansen fortsatt skjev. Av ordinære medlemmer i </w:t>
      </w:r>
      <w:proofErr w:type="spellStart"/>
      <w:r>
        <w:t>Tekna</w:t>
      </w:r>
      <w:proofErr w:type="spellEnd"/>
      <w:r>
        <w:t xml:space="preserve"> er 28 % kvinner. Innenfor </w:t>
      </w:r>
      <w:proofErr w:type="spellStart"/>
      <w:r>
        <w:t>Teknas</w:t>
      </w:r>
      <w:proofErr w:type="spellEnd"/>
      <w:r>
        <w:t xml:space="preserve"> fagretning Geofag og petroleumsteknikk og Samfunnsvitenskap og teknologiledelse er kvinneandelen høyest med en kvinneandel på henholdsvis 36,9 og 35, 6 %. De øvrige fagretningene hvor vi gir jentepoeng har lav kvinneandel, flere under 20 %. </w:t>
      </w:r>
    </w:p>
    <w:tbl>
      <w:tblPr>
        <w:tblW w:w="5008" w:type="pct"/>
        <w:tblCellMar>
          <w:top w:w="15" w:type="dxa"/>
          <w:left w:w="15" w:type="dxa"/>
          <w:bottom w:w="15" w:type="dxa"/>
          <w:right w:w="15" w:type="dxa"/>
        </w:tblCellMar>
        <w:tblLook w:val="04A0" w:firstRow="1" w:lastRow="0" w:firstColumn="1" w:lastColumn="0" w:noHBand="0" w:noVBand="1"/>
      </w:tblPr>
      <w:tblGrid>
        <w:gridCol w:w="10094"/>
      </w:tblGrid>
      <w:tr w:rsidR="00533EC7" w:rsidRPr="005856AA" w:rsidTr="004E6D56">
        <w:tc>
          <w:tcPr>
            <w:tcW w:w="5000" w:type="pct"/>
            <w:shd w:val="clear" w:color="auto" w:fill="auto"/>
            <w:hideMark/>
          </w:tcPr>
          <w:p w:rsidR="00533EC7" w:rsidRPr="00B07ED2" w:rsidRDefault="00533EC7" w:rsidP="004E6D56"/>
          <w:p w:rsidR="00533EC7" w:rsidRPr="00B07ED2" w:rsidRDefault="00533EC7" w:rsidP="004E6D56">
            <w:pPr>
              <w:rPr>
                <w:b/>
                <w:sz w:val="28"/>
                <w:szCs w:val="28"/>
              </w:rPr>
            </w:pPr>
            <w:r w:rsidRPr="00B07ED2">
              <w:rPr>
                <w:b/>
                <w:sz w:val="28"/>
                <w:szCs w:val="28"/>
              </w:rPr>
              <w:t xml:space="preserve">Jenteandel som har fått tilbud om opptak ved de ulike studieprogrammene </w:t>
            </w:r>
          </w:p>
          <w:p w:rsidR="00533EC7" w:rsidRPr="00B07ED2" w:rsidRDefault="00533EC7" w:rsidP="004E6D56"/>
          <w:p w:rsidR="00533EC7" w:rsidRPr="00B07ED2" w:rsidRDefault="00533EC7" w:rsidP="004E6D56">
            <w:r w:rsidRPr="00B07ED2">
              <w:t>Det er stor forskjell på studieprogrammene og jenteandel. Nedenfor skal vi gå litt nærmere inn på andelen jenter ved de ulike programmene innenfor sivilingeniørstudiet. Tallene vi bruker er tilbud om studieplass og hvor stor andel av de som fikk tilbud om studieplass som er jenter. Det er ikke gitt at dette samsvarer helt med tall for hvor mange som har møtt, men tilbud om studieplass viser hvor mange jenter som med jentepoengordningen får mulighet til å starte på sivilingeniørstudiet.  Vedlegg</w:t>
            </w:r>
            <w:r>
              <w:t xml:space="preserve"> 1</w:t>
            </w:r>
            <w:r w:rsidRPr="00B07ED2">
              <w:t xml:space="preserve"> viser hvor stor andel jenter som fikk tilbud om studieplass fra opptaket i 2010 - 2014. </w:t>
            </w:r>
          </w:p>
          <w:p w:rsidR="00533EC7" w:rsidRPr="00B07ED2" w:rsidRDefault="00533EC7" w:rsidP="004E6D56"/>
          <w:p w:rsidR="00533EC7" w:rsidRPr="00B07ED2" w:rsidRDefault="00533EC7" w:rsidP="004E6D56">
            <w:r w:rsidRPr="00B07ED2">
              <w:t xml:space="preserve">Når det gjelder andelen jenter som har fått tilbud om plass i 2014 så har vi to program der jenteandelen utgjør over 50 %, </w:t>
            </w:r>
            <w:r>
              <w:t xml:space="preserve">seks </w:t>
            </w:r>
            <w:r w:rsidRPr="00B07ED2">
              <w:t>som har over 40 %</w:t>
            </w:r>
            <w:r w:rsidR="00033A50">
              <w:t xml:space="preserve">, men fortsatt under 50 % </w:t>
            </w:r>
            <w:r w:rsidRPr="00B07ED2">
              <w:t xml:space="preserve">og </w:t>
            </w:r>
            <w:r>
              <w:t>tre</w:t>
            </w:r>
            <w:r w:rsidRPr="00B07ED2">
              <w:t xml:space="preserve"> som ligger så lavt som under 26 %. Fire program ligger på mellom 30 og 40 %. </w:t>
            </w:r>
          </w:p>
          <w:p w:rsidR="00533EC7" w:rsidRPr="00B07ED2" w:rsidRDefault="00533EC7" w:rsidP="004E6D56"/>
          <w:p w:rsidR="00533EC7" w:rsidRPr="00B07ED2" w:rsidRDefault="00533EC7" w:rsidP="004E6D56">
            <w:r w:rsidRPr="00B07ED2">
              <w:t xml:space="preserve">Tabell 1 nedenfor viser de programmene som de siste tre årene har en jenteandel på 40 % eller mer. Man må imidlertid være oppmerksom på at årsaken til en så vidt høy jenteandel sannsynligvis skyldes nettopp jentepoengene. </w:t>
            </w:r>
          </w:p>
          <w:p w:rsidR="00533EC7" w:rsidRPr="00B07ED2" w:rsidRDefault="00533EC7" w:rsidP="004E6D56">
            <w:r w:rsidRPr="00B07ED2">
              <w:t xml:space="preserve">   </w:t>
            </w:r>
          </w:p>
          <w:p w:rsidR="00533EC7" w:rsidRPr="00B07ED2" w:rsidRDefault="00533EC7" w:rsidP="004E6D56">
            <w:r w:rsidRPr="00B07ED2">
              <w:t xml:space="preserve">Det er </w:t>
            </w:r>
            <w:r>
              <w:t xml:space="preserve">seks </w:t>
            </w:r>
            <w:r w:rsidRPr="00B07ED2">
              <w:t xml:space="preserve">studieprogram, </w:t>
            </w:r>
            <w:r>
              <w:t>fire</w:t>
            </w:r>
            <w:r w:rsidRPr="00B07ED2">
              <w:t xml:space="preserve"> ved IVT-fakultetet, </w:t>
            </w:r>
            <w:r>
              <w:t>ett</w:t>
            </w:r>
            <w:r w:rsidRPr="00B07ED2">
              <w:t xml:space="preserve"> ved NT og ett ved SVT</w:t>
            </w:r>
            <w:r>
              <w:t xml:space="preserve">. Med unntak for Bygg- og miljøteknikk har disse også hatt et snitt på over 40 % hvis man ser på de siste fem årene. </w:t>
            </w:r>
          </w:p>
          <w:p w:rsidR="00533EC7" w:rsidRPr="00B07ED2" w:rsidRDefault="00533EC7" w:rsidP="004E6D56"/>
          <w:tbl>
            <w:tblPr>
              <w:tblW w:w="9777" w:type="dxa"/>
              <w:tblCellMar>
                <w:left w:w="70" w:type="dxa"/>
                <w:right w:w="70" w:type="dxa"/>
              </w:tblCellMar>
              <w:tblLook w:val="04A0" w:firstRow="1" w:lastRow="0" w:firstColumn="1" w:lastColumn="0" w:noHBand="0" w:noVBand="1"/>
            </w:tblPr>
            <w:tblGrid>
              <w:gridCol w:w="3500"/>
              <w:gridCol w:w="1200"/>
              <w:gridCol w:w="1249"/>
              <w:gridCol w:w="1276"/>
              <w:gridCol w:w="1276"/>
              <w:gridCol w:w="1276"/>
            </w:tblGrid>
            <w:tr w:rsidR="00533EC7" w:rsidRPr="00046D9C" w:rsidTr="004E6D56">
              <w:trPr>
                <w:trHeight w:val="725"/>
              </w:trPr>
              <w:tc>
                <w:tcPr>
                  <w:tcW w:w="3500"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533EC7" w:rsidRPr="00B07ED2" w:rsidRDefault="00533EC7" w:rsidP="004E6D56">
                  <w:pPr>
                    <w:rPr>
                      <w:rFonts w:ascii="Arial Narrow" w:hAnsi="Arial Narrow"/>
                      <w:b/>
                      <w:bCs/>
                      <w:sz w:val="20"/>
                    </w:rPr>
                  </w:pPr>
                  <w:proofErr w:type="spellStart"/>
                  <w:r w:rsidRPr="00B07ED2">
                    <w:rPr>
                      <w:rFonts w:ascii="Arial Narrow" w:hAnsi="Arial Narrow"/>
                      <w:b/>
                      <w:bCs/>
                      <w:sz w:val="20"/>
                    </w:rPr>
                    <w:t>Studiumnavn</w:t>
                  </w:r>
                  <w:proofErr w:type="spellEnd"/>
                </w:p>
              </w:tc>
              <w:tc>
                <w:tcPr>
                  <w:tcW w:w="1200" w:type="dxa"/>
                  <w:tcBorders>
                    <w:top w:val="single" w:sz="4" w:space="0" w:color="auto"/>
                    <w:left w:val="nil"/>
                    <w:bottom w:val="double" w:sz="6" w:space="0" w:color="auto"/>
                    <w:right w:val="single" w:sz="4" w:space="0" w:color="auto"/>
                  </w:tcBorders>
                  <w:shd w:val="clear" w:color="000000" w:fill="D9D9D9"/>
                  <w:vAlign w:val="bottom"/>
                  <w:hideMark/>
                </w:tcPr>
                <w:p w:rsidR="00533EC7" w:rsidRPr="00B07ED2" w:rsidRDefault="00533EC7" w:rsidP="004E6D56">
                  <w:pPr>
                    <w:rPr>
                      <w:rFonts w:ascii="Arial Narrow" w:hAnsi="Arial Narrow"/>
                      <w:b/>
                      <w:bCs/>
                      <w:sz w:val="20"/>
                    </w:rPr>
                  </w:pPr>
                  <w:r w:rsidRPr="00B07ED2">
                    <w:rPr>
                      <w:rFonts w:ascii="Arial Narrow" w:hAnsi="Arial Narrow"/>
                      <w:b/>
                      <w:bCs/>
                      <w:sz w:val="20"/>
                    </w:rPr>
                    <w:t xml:space="preserve">             2012</w:t>
                  </w:r>
                </w:p>
              </w:tc>
              <w:tc>
                <w:tcPr>
                  <w:tcW w:w="1249" w:type="dxa"/>
                  <w:tcBorders>
                    <w:top w:val="single" w:sz="4" w:space="0" w:color="auto"/>
                    <w:left w:val="nil"/>
                    <w:bottom w:val="double" w:sz="6" w:space="0" w:color="auto"/>
                    <w:right w:val="single" w:sz="4" w:space="0" w:color="auto"/>
                  </w:tcBorders>
                  <w:shd w:val="clear" w:color="000000" w:fill="D9D9D9"/>
                  <w:vAlign w:val="bottom"/>
                  <w:hideMark/>
                </w:tcPr>
                <w:p w:rsidR="00533EC7" w:rsidRPr="00B07ED2" w:rsidRDefault="00533EC7" w:rsidP="004E6D56">
                  <w:pPr>
                    <w:rPr>
                      <w:rFonts w:ascii="Arial Narrow" w:hAnsi="Arial Narrow"/>
                      <w:b/>
                      <w:bCs/>
                      <w:sz w:val="20"/>
                    </w:rPr>
                  </w:pPr>
                  <w:r w:rsidRPr="00B07ED2">
                    <w:rPr>
                      <w:rFonts w:ascii="Arial Narrow" w:hAnsi="Arial Narrow"/>
                      <w:b/>
                      <w:bCs/>
                      <w:sz w:val="20"/>
                    </w:rPr>
                    <w:t xml:space="preserve">             2013                     </w:t>
                  </w:r>
                </w:p>
              </w:tc>
              <w:tc>
                <w:tcPr>
                  <w:tcW w:w="1276" w:type="dxa"/>
                  <w:tcBorders>
                    <w:top w:val="single" w:sz="4" w:space="0" w:color="auto"/>
                    <w:left w:val="nil"/>
                    <w:bottom w:val="double" w:sz="6" w:space="0" w:color="auto"/>
                    <w:right w:val="single" w:sz="4" w:space="0" w:color="auto"/>
                  </w:tcBorders>
                  <w:shd w:val="clear" w:color="000000" w:fill="D9D9D9"/>
                  <w:vAlign w:val="bottom"/>
                  <w:hideMark/>
                </w:tcPr>
                <w:p w:rsidR="00533EC7" w:rsidRPr="00B07ED2" w:rsidRDefault="00533EC7" w:rsidP="004E6D56">
                  <w:pPr>
                    <w:rPr>
                      <w:rFonts w:ascii="Arial Narrow" w:hAnsi="Arial Narrow"/>
                      <w:b/>
                      <w:bCs/>
                      <w:sz w:val="20"/>
                    </w:rPr>
                  </w:pPr>
                  <w:r w:rsidRPr="00B07ED2">
                    <w:rPr>
                      <w:rFonts w:ascii="Arial Narrow" w:hAnsi="Arial Narrow"/>
                      <w:b/>
                      <w:bCs/>
                      <w:sz w:val="20"/>
                    </w:rPr>
                    <w:t xml:space="preserve">               2014</w:t>
                  </w:r>
                </w:p>
              </w:tc>
              <w:tc>
                <w:tcPr>
                  <w:tcW w:w="1276" w:type="dxa"/>
                  <w:tcBorders>
                    <w:top w:val="single" w:sz="4" w:space="0" w:color="auto"/>
                    <w:left w:val="nil"/>
                    <w:bottom w:val="double" w:sz="6" w:space="0" w:color="auto"/>
                    <w:right w:val="single" w:sz="4" w:space="0" w:color="auto"/>
                  </w:tcBorders>
                  <w:shd w:val="clear" w:color="000000" w:fill="D9D9D9"/>
                  <w:vAlign w:val="bottom"/>
                </w:tcPr>
                <w:p w:rsidR="00533EC7" w:rsidRPr="00B07ED2" w:rsidRDefault="00533EC7" w:rsidP="004E6D56">
                  <w:pPr>
                    <w:rPr>
                      <w:rFonts w:ascii="Arial Narrow" w:hAnsi="Arial Narrow"/>
                      <w:b/>
                      <w:bCs/>
                      <w:sz w:val="20"/>
                    </w:rPr>
                  </w:pPr>
                  <w:r w:rsidRPr="00B07ED2">
                    <w:rPr>
                      <w:rFonts w:ascii="Arial Narrow" w:hAnsi="Arial Narrow"/>
                      <w:b/>
                      <w:bCs/>
                      <w:sz w:val="20"/>
                    </w:rPr>
                    <w:t>Snitt siste 3 år</w:t>
                  </w:r>
                </w:p>
              </w:tc>
              <w:tc>
                <w:tcPr>
                  <w:tcW w:w="1276" w:type="dxa"/>
                  <w:tcBorders>
                    <w:top w:val="single" w:sz="4" w:space="0" w:color="auto"/>
                    <w:left w:val="nil"/>
                    <w:bottom w:val="double" w:sz="6" w:space="0" w:color="auto"/>
                    <w:right w:val="single" w:sz="4" w:space="0" w:color="auto"/>
                  </w:tcBorders>
                  <w:shd w:val="clear" w:color="000000" w:fill="D9D9D9"/>
                  <w:vAlign w:val="bottom"/>
                </w:tcPr>
                <w:p w:rsidR="00533EC7" w:rsidRPr="00B07ED2" w:rsidRDefault="00533EC7" w:rsidP="004E6D56">
                  <w:pPr>
                    <w:rPr>
                      <w:rFonts w:ascii="Arial Narrow" w:hAnsi="Arial Narrow"/>
                      <w:b/>
                      <w:bCs/>
                      <w:sz w:val="20"/>
                    </w:rPr>
                  </w:pPr>
                  <w:r w:rsidRPr="00B07ED2">
                    <w:rPr>
                      <w:rFonts w:ascii="Arial Narrow" w:hAnsi="Arial Narrow"/>
                      <w:b/>
                      <w:bCs/>
                      <w:sz w:val="20"/>
                    </w:rPr>
                    <w:t xml:space="preserve">Snitt siste </w:t>
                  </w:r>
                  <w:r>
                    <w:rPr>
                      <w:rFonts w:ascii="Arial Narrow" w:hAnsi="Arial Narrow"/>
                      <w:b/>
                      <w:bCs/>
                      <w:sz w:val="20"/>
                    </w:rPr>
                    <w:t>5</w:t>
                  </w:r>
                  <w:r w:rsidRPr="00B07ED2">
                    <w:rPr>
                      <w:rFonts w:ascii="Arial Narrow" w:hAnsi="Arial Narrow"/>
                      <w:b/>
                      <w:bCs/>
                      <w:sz w:val="20"/>
                    </w:rPr>
                    <w:t xml:space="preserve"> år</w:t>
                  </w:r>
                </w:p>
              </w:tc>
            </w:tr>
            <w:tr w:rsidR="00533EC7" w:rsidRPr="00046D9C" w:rsidTr="004E6D56">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533EC7" w:rsidRPr="00046D9C" w:rsidRDefault="00533EC7" w:rsidP="004E6D56">
                  <w:pPr>
                    <w:rPr>
                      <w:rFonts w:ascii="Arial" w:hAnsi="Arial" w:cs="Arial"/>
                      <w:sz w:val="18"/>
                      <w:szCs w:val="18"/>
                    </w:rPr>
                  </w:pPr>
                  <w:r w:rsidRPr="00046D9C">
                    <w:rPr>
                      <w:rFonts w:ascii="Arial" w:hAnsi="Arial" w:cs="Arial"/>
                      <w:sz w:val="18"/>
                      <w:szCs w:val="18"/>
                    </w:rPr>
                    <w:t>Bygg- og miljøteknikk</w:t>
                  </w:r>
                </w:p>
              </w:tc>
              <w:tc>
                <w:tcPr>
                  <w:tcW w:w="1200" w:type="dxa"/>
                  <w:tcBorders>
                    <w:top w:val="nil"/>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39,0 %</w:t>
                  </w:r>
                </w:p>
              </w:tc>
              <w:tc>
                <w:tcPr>
                  <w:tcW w:w="1249" w:type="dxa"/>
                  <w:tcBorders>
                    <w:top w:val="nil"/>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 xml:space="preserve">45,0 %  </w:t>
                  </w:r>
                </w:p>
              </w:tc>
              <w:tc>
                <w:tcPr>
                  <w:tcW w:w="1276" w:type="dxa"/>
                  <w:tcBorders>
                    <w:top w:val="nil"/>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43,7 %</w:t>
                  </w:r>
                </w:p>
              </w:tc>
              <w:tc>
                <w:tcPr>
                  <w:tcW w:w="1276" w:type="dxa"/>
                  <w:tcBorders>
                    <w:top w:val="nil"/>
                    <w:left w:val="nil"/>
                    <w:bottom w:val="single" w:sz="4" w:space="0" w:color="auto"/>
                    <w:right w:val="single" w:sz="4" w:space="0" w:color="auto"/>
                  </w:tcBorders>
                  <w:shd w:val="clear" w:color="000000" w:fill="D9D9D9"/>
                  <w:vAlign w:val="bottom"/>
                </w:tcPr>
                <w:p w:rsidR="00533EC7" w:rsidRPr="00766E34" w:rsidRDefault="00533EC7" w:rsidP="004E6D56">
                  <w:pPr>
                    <w:jc w:val="right"/>
                    <w:rPr>
                      <w:rFonts w:ascii="Arial" w:hAnsi="Arial" w:cs="Arial"/>
                      <w:b/>
                      <w:sz w:val="18"/>
                      <w:szCs w:val="18"/>
                    </w:rPr>
                  </w:pPr>
                  <w:r w:rsidRPr="00766E34">
                    <w:rPr>
                      <w:rFonts w:ascii="Arial" w:hAnsi="Arial" w:cs="Arial"/>
                      <w:b/>
                      <w:sz w:val="18"/>
                      <w:szCs w:val="18"/>
                    </w:rPr>
                    <w:t>42,6 %</w:t>
                  </w:r>
                </w:p>
              </w:tc>
              <w:tc>
                <w:tcPr>
                  <w:tcW w:w="1276" w:type="dxa"/>
                  <w:tcBorders>
                    <w:top w:val="nil"/>
                    <w:left w:val="nil"/>
                    <w:bottom w:val="single" w:sz="4" w:space="0" w:color="auto"/>
                    <w:right w:val="single" w:sz="4" w:space="0" w:color="auto"/>
                  </w:tcBorders>
                  <w:shd w:val="clear" w:color="000000" w:fill="D9D9D9"/>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39,2 %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046D9C" w:rsidRDefault="00533EC7" w:rsidP="004E6D56">
                  <w:pPr>
                    <w:rPr>
                      <w:rFonts w:ascii="Arial" w:hAnsi="Arial" w:cs="Arial"/>
                      <w:sz w:val="18"/>
                      <w:szCs w:val="18"/>
                    </w:rPr>
                  </w:pPr>
                  <w:r w:rsidRPr="00046D9C">
                    <w:rPr>
                      <w:rFonts w:ascii="Arial" w:hAnsi="Arial" w:cs="Arial"/>
                      <w:sz w:val="18"/>
                      <w:szCs w:val="18"/>
                    </w:rPr>
                    <w:t>Energi og miljø</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45,9 %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45,9 %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38,3 %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766E34" w:rsidRDefault="00533EC7" w:rsidP="004E6D56">
                  <w:pPr>
                    <w:jc w:val="right"/>
                    <w:rPr>
                      <w:rFonts w:ascii="Arial" w:hAnsi="Arial" w:cs="Arial"/>
                      <w:b/>
                      <w:sz w:val="18"/>
                      <w:szCs w:val="18"/>
                    </w:rPr>
                  </w:pPr>
                  <w:r w:rsidRPr="00766E34">
                    <w:rPr>
                      <w:rFonts w:ascii="Arial" w:hAnsi="Arial" w:cs="Arial"/>
                      <w:b/>
                      <w:sz w:val="18"/>
                      <w:szCs w:val="18"/>
                    </w:rPr>
                    <w:t>43,4 %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42,2 %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046D9C" w:rsidRDefault="00533EC7" w:rsidP="004E6D56">
                  <w:pPr>
                    <w:rPr>
                      <w:rFonts w:ascii="Arial" w:hAnsi="Arial" w:cs="Arial"/>
                      <w:sz w:val="18"/>
                      <w:szCs w:val="18"/>
                    </w:rPr>
                  </w:pPr>
                  <w:r w:rsidRPr="00046D9C">
                    <w:rPr>
                      <w:rFonts w:ascii="Arial" w:hAnsi="Arial" w:cs="Arial"/>
                      <w:sz w:val="18"/>
                      <w:szCs w:val="18"/>
                    </w:rPr>
                    <w:t>Nanoteknologi</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41,3 %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41,1 %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50,0 %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766E34" w:rsidRDefault="00533EC7" w:rsidP="004E6D56">
                  <w:pPr>
                    <w:jc w:val="right"/>
                    <w:rPr>
                      <w:rFonts w:ascii="Arial" w:hAnsi="Arial" w:cs="Arial"/>
                      <w:b/>
                      <w:sz w:val="18"/>
                      <w:szCs w:val="18"/>
                    </w:rPr>
                  </w:pPr>
                  <w:r w:rsidRPr="00766E34">
                    <w:rPr>
                      <w:rFonts w:ascii="Arial" w:hAnsi="Arial" w:cs="Arial"/>
                      <w:b/>
                      <w:sz w:val="18"/>
                      <w:szCs w:val="18"/>
                    </w:rPr>
                    <w:t>44,1 %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046D9C" w:rsidRDefault="00533EC7" w:rsidP="004E6D56">
                  <w:pPr>
                    <w:jc w:val="center"/>
                    <w:rPr>
                      <w:rFonts w:ascii="Arial" w:hAnsi="Arial" w:cs="Arial"/>
                      <w:sz w:val="18"/>
                      <w:szCs w:val="18"/>
                    </w:rPr>
                  </w:pPr>
                  <w:r w:rsidRPr="00046D9C">
                    <w:rPr>
                      <w:rFonts w:ascii="Arial" w:hAnsi="Arial" w:cs="Arial"/>
                      <w:sz w:val="18"/>
                      <w:szCs w:val="18"/>
                    </w:rPr>
                    <w:t xml:space="preserve">        </w:t>
                  </w:r>
                  <w:r w:rsidR="00033A50">
                    <w:rPr>
                      <w:rFonts w:ascii="Arial" w:hAnsi="Arial" w:cs="Arial"/>
                      <w:sz w:val="18"/>
                      <w:szCs w:val="18"/>
                    </w:rPr>
                    <w:t xml:space="preserve">   </w:t>
                  </w:r>
                  <w:r w:rsidRPr="00046D9C">
                    <w:rPr>
                      <w:rFonts w:ascii="Arial" w:hAnsi="Arial" w:cs="Arial"/>
                      <w:sz w:val="18"/>
                      <w:szCs w:val="18"/>
                    </w:rPr>
                    <w:t>44,6 %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046D9C" w:rsidRDefault="00533EC7" w:rsidP="004E6D56">
                  <w:pPr>
                    <w:rPr>
                      <w:rFonts w:ascii="Arial" w:hAnsi="Arial" w:cs="Arial"/>
                      <w:sz w:val="18"/>
                      <w:szCs w:val="18"/>
                    </w:rPr>
                  </w:pPr>
                  <w:r w:rsidRPr="00046D9C">
                    <w:rPr>
                      <w:rFonts w:ascii="Arial" w:hAnsi="Arial" w:cs="Arial"/>
                      <w:sz w:val="18"/>
                      <w:szCs w:val="18"/>
                    </w:rPr>
                    <w:t>Industriell økonomi</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43,0 %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46,5 %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43,3 %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766E34" w:rsidRDefault="00533EC7" w:rsidP="004E6D56">
                  <w:pPr>
                    <w:jc w:val="right"/>
                    <w:rPr>
                      <w:rFonts w:ascii="Arial" w:hAnsi="Arial" w:cs="Arial"/>
                      <w:b/>
                      <w:sz w:val="18"/>
                      <w:szCs w:val="18"/>
                    </w:rPr>
                  </w:pPr>
                  <w:r w:rsidRPr="00766E34">
                    <w:rPr>
                      <w:rFonts w:ascii="Arial" w:hAnsi="Arial" w:cs="Arial"/>
                      <w:b/>
                      <w:sz w:val="18"/>
                      <w:szCs w:val="18"/>
                    </w:rPr>
                    <w:t>44,3 %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45,2 %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Petroleumsfag</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42,2 %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45,1 %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48,8 %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766E34" w:rsidRDefault="00533EC7" w:rsidP="004E6D56">
                  <w:pPr>
                    <w:jc w:val="right"/>
                    <w:rPr>
                      <w:rFonts w:ascii="Arial" w:hAnsi="Arial" w:cs="Arial"/>
                      <w:b/>
                      <w:sz w:val="18"/>
                      <w:szCs w:val="18"/>
                    </w:rPr>
                  </w:pPr>
                  <w:r w:rsidRPr="00766E34">
                    <w:rPr>
                      <w:rFonts w:ascii="Arial" w:hAnsi="Arial" w:cs="Arial"/>
                      <w:b/>
                      <w:sz w:val="18"/>
                      <w:szCs w:val="18"/>
                    </w:rPr>
                    <w:t>45,4 %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B07ED2" w:rsidRDefault="00533EC7" w:rsidP="004E6D56">
                  <w:pPr>
                    <w:jc w:val="right"/>
                    <w:rPr>
                      <w:rFonts w:ascii="Arial" w:hAnsi="Arial" w:cs="Arial"/>
                      <w:sz w:val="18"/>
                      <w:szCs w:val="18"/>
                    </w:rPr>
                  </w:pPr>
                  <w:r>
                    <w:rPr>
                      <w:rFonts w:ascii="Arial" w:hAnsi="Arial" w:cs="Arial"/>
                      <w:sz w:val="18"/>
                      <w:szCs w:val="18"/>
                    </w:rPr>
                    <w:t>40,5 %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046D9C" w:rsidRDefault="00533EC7" w:rsidP="004E6D56">
                  <w:pPr>
                    <w:rPr>
                      <w:rFonts w:ascii="Arial" w:hAnsi="Arial" w:cs="Arial"/>
                      <w:sz w:val="18"/>
                      <w:szCs w:val="18"/>
                    </w:rPr>
                  </w:pPr>
                  <w:r w:rsidRPr="00046D9C">
                    <w:rPr>
                      <w:rFonts w:ascii="Arial" w:hAnsi="Arial" w:cs="Arial"/>
                      <w:sz w:val="18"/>
                      <w:szCs w:val="18"/>
                    </w:rPr>
                    <w:t>Teknisk geofag</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54,8 %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57,1 %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60,0 %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766E34" w:rsidRDefault="00533EC7" w:rsidP="004E6D56">
                  <w:pPr>
                    <w:jc w:val="right"/>
                    <w:rPr>
                      <w:rFonts w:ascii="Arial" w:hAnsi="Arial" w:cs="Arial"/>
                      <w:b/>
                      <w:sz w:val="18"/>
                      <w:szCs w:val="18"/>
                    </w:rPr>
                  </w:pPr>
                  <w:r w:rsidRPr="00766E34">
                    <w:rPr>
                      <w:rFonts w:ascii="Arial" w:hAnsi="Arial" w:cs="Arial"/>
                      <w:b/>
                      <w:sz w:val="18"/>
                      <w:szCs w:val="18"/>
                    </w:rPr>
                    <w:t>57,3 %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52,3 %</w:t>
                  </w:r>
                </w:p>
              </w:tc>
            </w:tr>
          </w:tbl>
          <w:p w:rsidR="00533EC7" w:rsidRPr="00046D9C" w:rsidRDefault="00533EC7" w:rsidP="004E6D56">
            <w:pPr>
              <w:rPr>
                <w:sz w:val="20"/>
              </w:rPr>
            </w:pPr>
          </w:p>
          <w:p w:rsidR="00533EC7" w:rsidRPr="00046D9C" w:rsidRDefault="00533EC7" w:rsidP="004E6D56">
            <w:pPr>
              <w:rPr>
                <w:sz w:val="20"/>
              </w:rPr>
            </w:pPr>
            <w:r w:rsidRPr="00046D9C">
              <w:rPr>
                <w:sz w:val="20"/>
              </w:rPr>
              <w:t>Tabell 1: Studieprogram som har en jenteandel på 40 % eller høyere de siste tre årene.</w:t>
            </w:r>
          </w:p>
          <w:p w:rsidR="00533EC7" w:rsidRPr="00046D9C" w:rsidRDefault="00533EC7" w:rsidP="004E6D56">
            <w:pPr>
              <w:ind w:left="709"/>
            </w:pPr>
          </w:p>
          <w:p w:rsidR="00533EC7" w:rsidRPr="00B07ED2" w:rsidRDefault="00533EC7" w:rsidP="004E6D56">
            <w:r w:rsidRPr="00B07ED2">
              <w:t xml:space="preserve">Det er fortsatt mange studieprogrammer som har lav jenteandel. I hovedsak er dette programmer ved IME-fakultetet, og jenteandelen er særlig lav (under 26 %) ved studieprogrammene Datateknologi, Kybernetikk og robotikk </w:t>
            </w:r>
            <w:r>
              <w:t xml:space="preserve">samt </w:t>
            </w:r>
            <w:r w:rsidRPr="00B07ED2">
              <w:t xml:space="preserve">Elektronisk systemdesign og innovasjon. Kommunikasjonsteknologi har over 40 % ved opptaket i 2014, men har ligget langt lavere i 2013 og 2012. </w:t>
            </w:r>
          </w:p>
          <w:p w:rsidR="00533EC7" w:rsidRPr="00B07ED2" w:rsidRDefault="00533EC7" w:rsidP="004E6D56"/>
          <w:tbl>
            <w:tblPr>
              <w:tblW w:w="9777" w:type="dxa"/>
              <w:tblCellMar>
                <w:left w:w="70" w:type="dxa"/>
                <w:right w:w="70" w:type="dxa"/>
              </w:tblCellMar>
              <w:tblLook w:val="04A0" w:firstRow="1" w:lastRow="0" w:firstColumn="1" w:lastColumn="0" w:noHBand="0" w:noVBand="1"/>
            </w:tblPr>
            <w:tblGrid>
              <w:gridCol w:w="3500"/>
              <w:gridCol w:w="1200"/>
              <w:gridCol w:w="1249"/>
              <w:gridCol w:w="1276"/>
              <w:gridCol w:w="1276"/>
              <w:gridCol w:w="1276"/>
            </w:tblGrid>
            <w:tr w:rsidR="00533EC7" w:rsidRPr="00046D9C" w:rsidTr="004E6D56">
              <w:trPr>
                <w:trHeight w:val="725"/>
              </w:trPr>
              <w:tc>
                <w:tcPr>
                  <w:tcW w:w="3500"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533EC7" w:rsidRPr="00BF4A19" w:rsidRDefault="00533EC7" w:rsidP="004E6D56">
                  <w:pPr>
                    <w:rPr>
                      <w:rFonts w:ascii="Arial Narrow" w:hAnsi="Arial Narrow"/>
                      <w:b/>
                      <w:bCs/>
                      <w:sz w:val="20"/>
                    </w:rPr>
                  </w:pPr>
                  <w:proofErr w:type="spellStart"/>
                  <w:r w:rsidRPr="00BF4A19">
                    <w:rPr>
                      <w:rFonts w:ascii="Arial Narrow" w:hAnsi="Arial Narrow"/>
                      <w:b/>
                      <w:bCs/>
                      <w:sz w:val="20"/>
                    </w:rPr>
                    <w:t>Studiumnavn</w:t>
                  </w:r>
                  <w:proofErr w:type="spellEnd"/>
                </w:p>
              </w:tc>
              <w:tc>
                <w:tcPr>
                  <w:tcW w:w="1200" w:type="dxa"/>
                  <w:tcBorders>
                    <w:top w:val="single" w:sz="4" w:space="0" w:color="auto"/>
                    <w:left w:val="nil"/>
                    <w:bottom w:val="double" w:sz="6" w:space="0" w:color="auto"/>
                    <w:right w:val="single" w:sz="4" w:space="0" w:color="auto"/>
                  </w:tcBorders>
                  <w:shd w:val="clear" w:color="000000" w:fill="D9D9D9"/>
                  <w:vAlign w:val="bottom"/>
                  <w:hideMark/>
                </w:tcPr>
                <w:p w:rsidR="00533EC7" w:rsidRPr="00BF4A19" w:rsidRDefault="00533EC7" w:rsidP="004E6D56">
                  <w:pPr>
                    <w:rPr>
                      <w:rFonts w:ascii="Arial Narrow" w:hAnsi="Arial Narrow"/>
                      <w:b/>
                      <w:bCs/>
                      <w:sz w:val="20"/>
                    </w:rPr>
                  </w:pPr>
                  <w:r w:rsidRPr="00BF4A19">
                    <w:rPr>
                      <w:rFonts w:ascii="Arial Narrow" w:hAnsi="Arial Narrow"/>
                      <w:b/>
                      <w:bCs/>
                      <w:sz w:val="20"/>
                    </w:rPr>
                    <w:t xml:space="preserve">             2012</w:t>
                  </w:r>
                </w:p>
              </w:tc>
              <w:tc>
                <w:tcPr>
                  <w:tcW w:w="1249" w:type="dxa"/>
                  <w:tcBorders>
                    <w:top w:val="single" w:sz="4" w:space="0" w:color="auto"/>
                    <w:left w:val="nil"/>
                    <w:bottom w:val="double" w:sz="6" w:space="0" w:color="auto"/>
                    <w:right w:val="single" w:sz="4" w:space="0" w:color="auto"/>
                  </w:tcBorders>
                  <w:shd w:val="clear" w:color="000000" w:fill="D9D9D9"/>
                  <w:vAlign w:val="bottom"/>
                  <w:hideMark/>
                </w:tcPr>
                <w:p w:rsidR="00533EC7" w:rsidRPr="00BF4A19" w:rsidRDefault="00533EC7" w:rsidP="004E6D56">
                  <w:pPr>
                    <w:rPr>
                      <w:rFonts w:ascii="Arial Narrow" w:hAnsi="Arial Narrow"/>
                      <w:b/>
                      <w:bCs/>
                      <w:sz w:val="20"/>
                    </w:rPr>
                  </w:pPr>
                  <w:r w:rsidRPr="00BF4A19">
                    <w:rPr>
                      <w:rFonts w:ascii="Arial Narrow" w:hAnsi="Arial Narrow"/>
                      <w:b/>
                      <w:bCs/>
                      <w:sz w:val="20"/>
                    </w:rPr>
                    <w:t xml:space="preserve">             2013                     </w:t>
                  </w:r>
                </w:p>
              </w:tc>
              <w:tc>
                <w:tcPr>
                  <w:tcW w:w="1276" w:type="dxa"/>
                  <w:tcBorders>
                    <w:top w:val="single" w:sz="4" w:space="0" w:color="auto"/>
                    <w:left w:val="nil"/>
                    <w:bottom w:val="double" w:sz="6" w:space="0" w:color="auto"/>
                    <w:right w:val="single" w:sz="4" w:space="0" w:color="auto"/>
                  </w:tcBorders>
                  <w:shd w:val="clear" w:color="000000" w:fill="D9D9D9"/>
                  <w:vAlign w:val="bottom"/>
                  <w:hideMark/>
                </w:tcPr>
                <w:p w:rsidR="00533EC7" w:rsidRPr="00BF4A19" w:rsidRDefault="00533EC7" w:rsidP="004E6D56">
                  <w:pPr>
                    <w:rPr>
                      <w:rFonts w:ascii="Arial Narrow" w:hAnsi="Arial Narrow"/>
                      <w:b/>
                      <w:bCs/>
                      <w:sz w:val="20"/>
                    </w:rPr>
                  </w:pPr>
                  <w:r w:rsidRPr="00BF4A19">
                    <w:rPr>
                      <w:rFonts w:ascii="Arial Narrow" w:hAnsi="Arial Narrow"/>
                      <w:b/>
                      <w:bCs/>
                      <w:sz w:val="20"/>
                    </w:rPr>
                    <w:t xml:space="preserve">               2014</w:t>
                  </w:r>
                </w:p>
              </w:tc>
              <w:tc>
                <w:tcPr>
                  <w:tcW w:w="1276" w:type="dxa"/>
                  <w:tcBorders>
                    <w:top w:val="single" w:sz="4" w:space="0" w:color="auto"/>
                    <w:left w:val="nil"/>
                    <w:bottom w:val="double" w:sz="6" w:space="0" w:color="auto"/>
                    <w:right w:val="single" w:sz="4" w:space="0" w:color="auto"/>
                  </w:tcBorders>
                  <w:shd w:val="clear" w:color="000000" w:fill="D9D9D9"/>
                  <w:vAlign w:val="bottom"/>
                </w:tcPr>
                <w:p w:rsidR="00533EC7" w:rsidRPr="00BF4A19" w:rsidRDefault="00533EC7" w:rsidP="004E6D56">
                  <w:pPr>
                    <w:rPr>
                      <w:rFonts w:ascii="Arial Narrow" w:hAnsi="Arial Narrow"/>
                      <w:b/>
                      <w:bCs/>
                      <w:sz w:val="20"/>
                    </w:rPr>
                  </w:pPr>
                  <w:r w:rsidRPr="00BF4A19">
                    <w:rPr>
                      <w:rFonts w:ascii="Arial Narrow" w:hAnsi="Arial Narrow"/>
                      <w:b/>
                      <w:bCs/>
                      <w:sz w:val="20"/>
                    </w:rPr>
                    <w:t>Snitt siste 3 år</w:t>
                  </w:r>
                </w:p>
              </w:tc>
              <w:tc>
                <w:tcPr>
                  <w:tcW w:w="1276" w:type="dxa"/>
                  <w:tcBorders>
                    <w:top w:val="single" w:sz="4" w:space="0" w:color="auto"/>
                    <w:left w:val="nil"/>
                    <w:bottom w:val="double" w:sz="6" w:space="0" w:color="auto"/>
                    <w:right w:val="single" w:sz="4" w:space="0" w:color="auto"/>
                  </w:tcBorders>
                  <w:shd w:val="clear" w:color="000000" w:fill="D9D9D9"/>
                  <w:vAlign w:val="bottom"/>
                </w:tcPr>
                <w:p w:rsidR="00533EC7" w:rsidRPr="00BF4A19" w:rsidRDefault="00533EC7" w:rsidP="004E6D56">
                  <w:pPr>
                    <w:rPr>
                      <w:rFonts w:ascii="Arial Narrow" w:hAnsi="Arial Narrow"/>
                      <w:b/>
                      <w:bCs/>
                      <w:sz w:val="20"/>
                    </w:rPr>
                  </w:pPr>
                  <w:r w:rsidRPr="00BF4A19">
                    <w:rPr>
                      <w:rFonts w:ascii="Arial Narrow" w:hAnsi="Arial Narrow"/>
                      <w:b/>
                      <w:bCs/>
                      <w:sz w:val="20"/>
                    </w:rPr>
                    <w:t>Snitt siste 5 år</w:t>
                  </w:r>
                </w:p>
              </w:tc>
            </w:tr>
            <w:tr w:rsidR="00533EC7" w:rsidRPr="00046D9C" w:rsidTr="004E6D56">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533EC7" w:rsidRPr="00BF4A19" w:rsidRDefault="00533EC7" w:rsidP="004E6D56">
                  <w:pPr>
                    <w:rPr>
                      <w:rFonts w:ascii="Arial" w:hAnsi="Arial" w:cs="Arial"/>
                      <w:sz w:val="18"/>
                      <w:szCs w:val="18"/>
                    </w:rPr>
                  </w:pPr>
                  <w:r w:rsidRPr="00BF4A19">
                    <w:rPr>
                      <w:rFonts w:ascii="Arial" w:hAnsi="Arial" w:cs="Arial"/>
                      <w:sz w:val="18"/>
                      <w:szCs w:val="18"/>
                    </w:rPr>
                    <w:t>Datateknologi</w:t>
                  </w:r>
                </w:p>
              </w:tc>
              <w:tc>
                <w:tcPr>
                  <w:tcW w:w="1200" w:type="dxa"/>
                  <w:tcBorders>
                    <w:top w:val="nil"/>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15,7 %</w:t>
                  </w:r>
                </w:p>
              </w:tc>
              <w:tc>
                <w:tcPr>
                  <w:tcW w:w="1249" w:type="dxa"/>
                  <w:tcBorders>
                    <w:top w:val="nil"/>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18,9 %</w:t>
                  </w:r>
                </w:p>
              </w:tc>
              <w:tc>
                <w:tcPr>
                  <w:tcW w:w="1276" w:type="dxa"/>
                  <w:tcBorders>
                    <w:top w:val="nil"/>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17,2 %</w:t>
                  </w:r>
                </w:p>
              </w:tc>
              <w:tc>
                <w:tcPr>
                  <w:tcW w:w="1276" w:type="dxa"/>
                  <w:tcBorders>
                    <w:top w:val="nil"/>
                    <w:left w:val="nil"/>
                    <w:bottom w:val="single" w:sz="4" w:space="0" w:color="auto"/>
                    <w:right w:val="single" w:sz="4" w:space="0" w:color="auto"/>
                  </w:tcBorders>
                  <w:shd w:val="clear" w:color="000000" w:fill="D9D9D9"/>
                  <w:vAlign w:val="bottom"/>
                </w:tcPr>
                <w:p w:rsidR="00533EC7" w:rsidRPr="006817CA" w:rsidRDefault="00533EC7" w:rsidP="004E6D56">
                  <w:pPr>
                    <w:jc w:val="right"/>
                    <w:rPr>
                      <w:rFonts w:ascii="Arial" w:hAnsi="Arial" w:cs="Arial"/>
                      <w:b/>
                      <w:sz w:val="18"/>
                      <w:szCs w:val="18"/>
                    </w:rPr>
                  </w:pPr>
                  <w:r w:rsidRPr="006817CA">
                    <w:rPr>
                      <w:rFonts w:ascii="Arial" w:hAnsi="Arial" w:cs="Arial"/>
                      <w:b/>
                      <w:sz w:val="18"/>
                      <w:szCs w:val="18"/>
                    </w:rPr>
                    <w:t>17,3 %</w:t>
                  </w:r>
                </w:p>
              </w:tc>
              <w:tc>
                <w:tcPr>
                  <w:tcW w:w="1276" w:type="dxa"/>
                  <w:tcBorders>
                    <w:top w:val="nil"/>
                    <w:left w:val="nil"/>
                    <w:bottom w:val="single" w:sz="4" w:space="0" w:color="auto"/>
                    <w:right w:val="single" w:sz="4" w:space="0" w:color="auto"/>
                  </w:tcBorders>
                  <w:shd w:val="clear" w:color="000000" w:fill="D9D9D9"/>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16 %</w:t>
                  </w:r>
                </w:p>
              </w:tc>
            </w:tr>
            <w:tr w:rsidR="00533EC7" w:rsidRPr="00046D9C" w:rsidTr="004E6D56">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533EC7" w:rsidRPr="00BF4A19" w:rsidRDefault="00533EC7" w:rsidP="004E6D56">
                  <w:pPr>
                    <w:rPr>
                      <w:rFonts w:ascii="Arial" w:hAnsi="Arial" w:cs="Arial"/>
                      <w:sz w:val="18"/>
                      <w:szCs w:val="18"/>
                    </w:rPr>
                  </w:pPr>
                  <w:r w:rsidRPr="00BF4A19">
                    <w:rPr>
                      <w:rFonts w:ascii="Arial" w:hAnsi="Arial" w:cs="Arial"/>
                      <w:sz w:val="18"/>
                      <w:szCs w:val="18"/>
                    </w:rPr>
                    <w:t>Kybernetikk og robotikk</w:t>
                  </w:r>
                </w:p>
              </w:tc>
              <w:tc>
                <w:tcPr>
                  <w:tcW w:w="1200" w:type="dxa"/>
                  <w:tcBorders>
                    <w:top w:val="nil"/>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17,5 %</w:t>
                  </w:r>
                </w:p>
              </w:tc>
              <w:tc>
                <w:tcPr>
                  <w:tcW w:w="1249" w:type="dxa"/>
                  <w:tcBorders>
                    <w:top w:val="nil"/>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21,4 %</w:t>
                  </w:r>
                </w:p>
              </w:tc>
              <w:tc>
                <w:tcPr>
                  <w:tcW w:w="1276" w:type="dxa"/>
                  <w:tcBorders>
                    <w:top w:val="nil"/>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19,0 %</w:t>
                  </w:r>
                </w:p>
              </w:tc>
              <w:tc>
                <w:tcPr>
                  <w:tcW w:w="1276" w:type="dxa"/>
                  <w:tcBorders>
                    <w:top w:val="nil"/>
                    <w:left w:val="nil"/>
                    <w:bottom w:val="single" w:sz="4" w:space="0" w:color="auto"/>
                    <w:right w:val="single" w:sz="4" w:space="0" w:color="auto"/>
                  </w:tcBorders>
                  <w:shd w:val="clear" w:color="000000" w:fill="D9D9D9"/>
                  <w:vAlign w:val="bottom"/>
                </w:tcPr>
                <w:p w:rsidR="00533EC7" w:rsidRPr="006817CA" w:rsidRDefault="00533EC7" w:rsidP="004E6D56">
                  <w:pPr>
                    <w:jc w:val="right"/>
                    <w:rPr>
                      <w:rFonts w:ascii="Arial" w:hAnsi="Arial" w:cs="Arial"/>
                      <w:b/>
                      <w:sz w:val="18"/>
                      <w:szCs w:val="18"/>
                    </w:rPr>
                  </w:pPr>
                  <w:r w:rsidRPr="006817CA">
                    <w:rPr>
                      <w:rFonts w:ascii="Arial" w:hAnsi="Arial" w:cs="Arial"/>
                      <w:b/>
                      <w:sz w:val="18"/>
                      <w:szCs w:val="18"/>
                    </w:rPr>
                    <w:t>19,3 %</w:t>
                  </w:r>
                </w:p>
              </w:tc>
              <w:tc>
                <w:tcPr>
                  <w:tcW w:w="1276" w:type="dxa"/>
                  <w:tcBorders>
                    <w:top w:val="nil"/>
                    <w:left w:val="nil"/>
                    <w:bottom w:val="single" w:sz="4" w:space="0" w:color="auto"/>
                    <w:right w:val="single" w:sz="4" w:space="0" w:color="auto"/>
                  </w:tcBorders>
                  <w:shd w:val="clear" w:color="000000" w:fill="D9D9D9"/>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18,8 %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F4A19" w:rsidRDefault="00533EC7" w:rsidP="004E6D56">
                  <w:pPr>
                    <w:rPr>
                      <w:rFonts w:ascii="Arial" w:hAnsi="Arial" w:cs="Arial"/>
                      <w:sz w:val="18"/>
                      <w:szCs w:val="18"/>
                    </w:rPr>
                  </w:pPr>
                  <w:r w:rsidRPr="00BF4A19">
                    <w:rPr>
                      <w:rFonts w:ascii="Arial" w:hAnsi="Arial" w:cs="Arial"/>
                      <w:sz w:val="18"/>
                      <w:szCs w:val="18"/>
                    </w:rPr>
                    <w:t>Elektronisk systemdesign og innovasjon</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14,0 %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19,2 %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25,8 %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6817CA" w:rsidRDefault="00533EC7" w:rsidP="004E6D56">
                  <w:pPr>
                    <w:jc w:val="right"/>
                    <w:rPr>
                      <w:rFonts w:ascii="Arial" w:hAnsi="Arial" w:cs="Arial"/>
                      <w:b/>
                      <w:sz w:val="18"/>
                      <w:szCs w:val="18"/>
                    </w:rPr>
                  </w:pPr>
                  <w:r w:rsidRPr="006817CA">
                    <w:rPr>
                      <w:rFonts w:ascii="Arial" w:hAnsi="Arial" w:cs="Arial"/>
                      <w:b/>
                      <w:sz w:val="18"/>
                      <w:szCs w:val="18"/>
                    </w:rPr>
                    <w:t>19,7 %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17 %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F4A19" w:rsidRDefault="00533EC7" w:rsidP="004E6D56">
                  <w:pPr>
                    <w:rPr>
                      <w:rFonts w:ascii="Arial" w:hAnsi="Arial" w:cs="Arial"/>
                      <w:sz w:val="18"/>
                      <w:szCs w:val="18"/>
                    </w:rPr>
                  </w:pPr>
                  <w:r w:rsidRPr="00BF4A19">
                    <w:rPr>
                      <w:rFonts w:ascii="Arial" w:hAnsi="Arial" w:cs="Arial"/>
                      <w:sz w:val="18"/>
                      <w:szCs w:val="18"/>
                    </w:rPr>
                    <w:t>Ingeniørvitenskap og teknologi</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20,6 %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16,7 %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33,8 %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6817CA" w:rsidRDefault="00533EC7" w:rsidP="004E6D56">
                  <w:pPr>
                    <w:jc w:val="right"/>
                    <w:rPr>
                      <w:rFonts w:ascii="Arial" w:hAnsi="Arial" w:cs="Arial"/>
                      <w:b/>
                      <w:sz w:val="18"/>
                      <w:szCs w:val="18"/>
                    </w:rPr>
                  </w:pPr>
                  <w:r w:rsidRPr="006817CA">
                    <w:rPr>
                      <w:rFonts w:ascii="Arial" w:hAnsi="Arial" w:cs="Arial"/>
                      <w:b/>
                      <w:sz w:val="18"/>
                      <w:szCs w:val="18"/>
                    </w:rPr>
                    <w:t>23,7 %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B07ED2" w:rsidRDefault="00533EC7" w:rsidP="004E6D56">
                  <w:pPr>
                    <w:jc w:val="right"/>
                    <w:rPr>
                      <w:rFonts w:ascii="Arial" w:hAnsi="Arial" w:cs="Arial"/>
                      <w:sz w:val="18"/>
                      <w:szCs w:val="18"/>
                    </w:rPr>
                  </w:pPr>
                  <w:r>
                    <w:rPr>
                      <w:rFonts w:ascii="Arial" w:hAnsi="Arial" w:cs="Arial"/>
                      <w:sz w:val="18"/>
                      <w:szCs w:val="18"/>
                    </w:rPr>
                    <w:t>21,9 %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F4A19" w:rsidRDefault="00533EC7" w:rsidP="004E6D56">
                  <w:pPr>
                    <w:rPr>
                      <w:rFonts w:ascii="Arial" w:hAnsi="Arial" w:cs="Arial"/>
                      <w:sz w:val="18"/>
                      <w:szCs w:val="18"/>
                    </w:rPr>
                  </w:pPr>
                  <w:r w:rsidRPr="00BF4A19">
                    <w:rPr>
                      <w:rFonts w:ascii="Arial" w:hAnsi="Arial" w:cs="Arial"/>
                      <w:sz w:val="18"/>
                      <w:szCs w:val="18"/>
                    </w:rPr>
                    <w:t>Kommunikasjonsteknologi</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rPr>
                      <w:rFonts w:ascii="Arial" w:hAnsi="Arial" w:cs="Arial"/>
                      <w:sz w:val="18"/>
                      <w:szCs w:val="18"/>
                    </w:rPr>
                  </w:pPr>
                  <w:r w:rsidRPr="00BF4A19">
                    <w:rPr>
                      <w:rFonts w:ascii="Arial" w:hAnsi="Arial" w:cs="Arial"/>
                      <w:sz w:val="18"/>
                      <w:szCs w:val="18"/>
                    </w:rPr>
                    <w:t xml:space="preserve">        19,4 %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25,3 %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42,4 %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6817CA" w:rsidRDefault="00533EC7" w:rsidP="004E6D56">
                  <w:pPr>
                    <w:jc w:val="center"/>
                    <w:rPr>
                      <w:rFonts w:ascii="Arial" w:hAnsi="Arial" w:cs="Arial"/>
                      <w:b/>
                      <w:sz w:val="18"/>
                      <w:szCs w:val="18"/>
                    </w:rPr>
                  </w:pPr>
                  <w:r w:rsidRPr="006817CA">
                    <w:rPr>
                      <w:rFonts w:ascii="Arial" w:hAnsi="Arial" w:cs="Arial"/>
                      <w:b/>
                      <w:sz w:val="18"/>
                      <w:szCs w:val="18"/>
                    </w:rPr>
                    <w:t xml:space="preserve">           29 %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BF4A19" w:rsidRDefault="00533EC7" w:rsidP="004E6D56">
                  <w:pPr>
                    <w:jc w:val="center"/>
                    <w:rPr>
                      <w:rFonts w:ascii="Arial" w:hAnsi="Arial" w:cs="Arial"/>
                      <w:sz w:val="18"/>
                      <w:szCs w:val="18"/>
                    </w:rPr>
                  </w:pPr>
                  <w:r w:rsidRPr="00BF4A19">
                    <w:rPr>
                      <w:rFonts w:ascii="Arial" w:hAnsi="Arial" w:cs="Arial"/>
                      <w:sz w:val="18"/>
                      <w:szCs w:val="18"/>
                    </w:rPr>
                    <w:t xml:space="preserve">        26,6 %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F4A19" w:rsidRDefault="00533EC7" w:rsidP="004E6D56">
                  <w:pPr>
                    <w:rPr>
                      <w:rFonts w:ascii="Arial" w:hAnsi="Arial" w:cs="Arial"/>
                      <w:sz w:val="18"/>
                      <w:szCs w:val="18"/>
                    </w:rPr>
                  </w:pPr>
                  <w:r w:rsidRPr="00BF4A19">
                    <w:rPr>
                      <w:rFonts w:ascii="Arial" w:hAnsi="Arial" w:cs="Arial"/>
                      <w:sz w:val="18"/>
                      <w:szCs w:val="18"/>
                    </w:rPr>
                    <w:t>Produktutvikling og produksjon</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34,9 %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25,0 %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30,3 %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6817CA" w:rsidRDefault="00533EC7" w:rsidP="004E6D56">
                  <w:pPr>
                    <w:jc w:val="right"/>
                    <w:rPr>
                      <w:rFonts w:ascii="Arial" w:hAnsi="Arial" w:cs="Arial"/>
                      <w:b/>
                      <w:sz w:val="18"/>
                      <w:szCs w:val="18"/>
                    </w:rPr>
                  </w:pPr>
                  <w:r w:rsidRPr="006817CA">
                    <w:rPr>
                      <w:rFonts w:ascii="Arial" w:hAnsi="Arial" w:cs="Arial"/>
                      <w:b/>
                      <w:sz w:val="18"/>
                      <w:szCs w:val="18"/>
                    </w:rPr>
                    <w:t>30,1 %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BF4A19" w:rsidRDefault="00533EC7" w:rsidP="004E6D56">
                  <w:pPr>
                    <w:jc w:val="right"/>
                    <w:rPr>
                      <w:rFonts w:ascii="Arial" w:hAnsi="Arial" w:cs="Arial"/>
                      <w:sz w:val="18"/>
                      <w:szCs w:val="18"/>
                    </w:rPr>
                  </w:pPr>
                  <w:r w:rsidRPr="00BF4A19">
                    <w:rPr>
                      <w:rFonts w:ascii="Arial" w:hAnsi="Arial" w:cs="Arial"/>
                      <w:sz w:val="18"/>
                      <w:szCs w:val="18"/>
                    </w:rPr>
                    <w:t>27,4 %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F4A19" w:rsidRDefault="00533EC7" w:rsidP="004E6D56">
                  <w:pPr>
                    <w:rPr>
                      <w:rFonts w:ascii="Arial" w:hAnsi="Arial" w:cs="Arial"/>
                      <w:sz w:val="18"/>
                      <w:szCs w:val="18"/>
                    </w:rPr>
                  </w:pPr>
                  <w:r>
                    <w:rPr>
                      <w:rFonts w:ascii="Arial" w:hAnsi="Arial" w:cs="Arial"/>
                      <w:sz w:val="18"/>
                      <w:szCs w:val="18"/>
                    </w:rPr>
                    <w:t xml:space="preserve">Materialteknologi </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Pr>
                      <w:rFonts w:ascii="Arial" w:hAnsi="Arial" w:cs="Arial"/>
                      <w:sz w:val="18"/>
                      <w:szCs w:val="18"/>
                    </w:rPr>
                    <w:t>37 %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F4A19" w:rsidRDefault="00533EC7" w:rsidP="004E6D56">
                  <w:pPr>
                    <w:jc w:val="right"/>
                    <w:rPr>
                      <w:rFonts w:ascii="Arial" w:hAnsi="Arial" w:cs="Arial"/>
                      <w:sz w:val="18"/>
                      <w:szCs w:val="18"/>
                    </w:rPr>
                  </w:pPr>
                  <w:r>
                    <w:rPr>
                      <w:rFonts w:ascii="Arial" w:hAnsi="Arial" w:cs="Arial"/>
                      <w:sz w:val="18"/>
                      <w:szCs w:val="18"/>
                    </w:rPr>
                    <w:t>27,6 %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rPr>
                      <w:rFonts w:ascii="Arial" w:hAnsi="Arial" w:cs="Arial"/>
                      <w:sz w:val="18"/>
                      <w:szCs w:val="18"/>
                    </w:rPr>
                  </w:pPr>
                  <w:r>
                    <w:rPr>
                      <w:rFonts w:ascii="Arial" w:hAnsi="Arial" w:cs="Arial"/>
                      <w:sz w:val="18"/>
                      <w:szCs w:val="18"/>
                    </w:rPr>
                    <w:t xml:space="preserve">           40 %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6817CA" w:rsidRDefault="00533EC7" w:rsidP="004E6D56">
                  <w:pPr>
                    <w:jc w:val="right"/>
                    <w:rPr>
                      <w:rFonts w:ascii="Arial" w:hAnsi="Arial" w:cs="Arial"/>
                      <w:b/>
                      <w:sz w:val="18"/>
                      <w:szCs w:val="18"/>
                    </w:rPr>
                  </w:pPr>
                  <w:r w:rsidRPr="006817CA">
                    <w:rPr>
                      <w:rFonts w:ascii="Arial" w:hAnsi="Arial" w:cs="Arial"/>
                      <w:b/>
                      <w:sz w:val="18"/>
                      <w:szCs w:val="18"/>
                    </w:rPr>
                    <w:t>34,8 %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Default="00533EC7" w:rsidP="004E6D56">
                  <w:pPr>
                    <w:jc w:val="right"/>
                    <w:rPr>
                      <w:rFonts w:ascii="Arial" w:hAnsi="Arial" w:cs="Arial"/>
                      <w:sz w:val="18"/>
                      <w:szCs w:val="18"/>
                    </w:rPr>
                  </w:pPr>
                  <w:r>
                    <w:rPr>
                      <w:rFonts w:ascii="Arial" w:hAnsi="Arial" w:cs="Arial"/>
                      <w:sz w:val="18"/>
                      <w:szCs w:val="18"/>
                    </w:rPr>
                    <w:t>29,1 %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046D9C" w:rsidRDefault="00533EC7" w:rsidP="004E6D56">
                  <w:pPr>
                    <w:rPr>
                      <w:rFonts w:ascii="Arial" w:hAnsi="Arial" w:cs="Arial"/>
                      <w:sz w:val="18"/>
                      <w:szCs w:val="18"/>
                    </w:rPr>
                  </w:pPr>
                  <w:r w:rsidRPr="00046D9C">
                    <w:rPr>
                      <w:rFonts w:ascii="Arial" w:hAnsi="Arial" w:cs="Arial"/>
                      <w:sz w:val="18"/>
                      <w:szCs w:val="18"/>
                    </w:rPr>
                    <w:t>Fysikk og matematikk</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33,9 %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35,2 %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35,3 %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6817CA" w:rsidRDefault="00533EC7" w:rsidP="004E6D56">
                  <w:pPr>
                    <w:jc w:val="right"/>
                    <w:rPr>
                      <w:rFonts w:ascii="Arial" w:hAnsi="Arial" w:cs="Arial"/>
                      <w:b/>
                      <w:sz w:val="18"/>
                      <w:szCs w:val="18"/>
                    </w:rPr>
                  </w:pPr>
                  <w:r w:rsidRPr="006817CA">
                    <w:rPr>
                      <w:rFonts w:ascii="Arial" w:hAnsi="Arial" w:cs="Arial"/>
                      <w:b/>
                      <w:sz w:val="18"/>
                      <w:szCs w:val="18"/>
                    </w:rPr>
                    <w:t>34,8 %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34,7 %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046D9C" w:rsidRDefault="00533EC7" w:rsidP="004E6D56">
                  <w:pPr>
                    <w:rPr>
                      <w:rFonts w:ascii="Arial" w:hAnsi="Arial" w:cs="Arial"/>
                      <w:sz w:val="18"/>
                      <w:szCs w:val="18"/>
                    </w:rPr>
                  </w:pPr>
                  <w:r w:rsidRPr="00046D9C">
                    <w:rPr>
                      <w:rFonts w:ascii="Arial" w:hAnsi="Arial" w:cs="Arial"/>
                      <w:sz w:val="18"/>
                      <w:szCs w:val="18"/>
                    </w:rPr>
                    <w:t>Marin teknikk</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33,5 %</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38,4 %</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45,4 %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6817CA" w:rsidRDefault="00533EC7" w:rsidP="004E6D56">
                  <w:pPr>
                    <w:jc w:val="right"/>
                    <w:rPr>
                      <w:rFonts w:ascii="Arial" w:hAnsi="Arial" w:cs="Arial"/>
                      <w:b/>
                      <w:sz w:val="18"/>
                      <w:szCs w:val="18"/>
                    </w:rPr>
                  </w:pPr>
                  <w:r w:rsidRPr="006817CA">
                    <w:rPr>
                      <w:rFonts w:ascii="Arial" w:hAnsi="Arial" w:cs="Arial"/>
                      <w:b/>
                      <w:sz w:val="18"/>
                      <w:szCs w:val="18"/>
                    </w:rPr>
                    <w:t>39,1 %</w:t>
                  </w:r>
                </w:p>
              </w:tc>
              <w:tc>
                <w:tcPr>
                  <w:tcW w:w="1276" w:type="dxa"/>
                  <w:tcBorders>
                    <w:top w:val="single" w:sz="4" w:space="0" w:color="auto"/>
                    <w:left w:val="nil"/>
                    <w:bottom w:val="single" w:sz="4" w:space="0" w:color="auto"/>
                    <w:right w:val="single" w:sz="4" w:space="0" w:color="auto"/>
                  </w:tcBorders>
                  <w:shd w:val="clear" w:color="000000" w:fill="D9D9D9"/>
                  <w:vAlign w:val="bottom"/>
                </w:tcPr>
                <w:p w:rsidR="00533EC7" w:rsidRPr="00046D9C" w:rsidRDefault="00533EC7" w:rsidP="004E6D56">
                  <w:pPr>
                    <w:jc w:val="right"/>
                    <w:rPr>
                      <w:rFonts w:ascii="Arial" w:hAnsi="Arial" w:cs="Arial"/>
                      <w:sz w:val="18"/>
                      <w:szCs w:val="18"/>
                    </w:rPr>
                  </w:pPr>
                  <w:r w:rsidRPr="00046D9C">
                    <w:rPr>
                      <w:rFonts w:ascii="Arial" w:hAnsi="Arial" w:cs="Arial"/>
                      <w:sz w:val="18"/>
                      <w:szCs w:val="18"/>
                    </w:rPr>
                    <w:t>35,2 %</w:t>
                  </w:r>
                </w:p>
              </w:tc>
            </w:tr>
          </w:tbl>
          <w:p w:rsidR="00533EC7" w:rsidRPr="00B07ED2" w:rsidRDefault="00533EC7" w:rsidP="004E6D56">
            <w:r w:rsidRPr="00B07ED2">
              <w:t xml:space="preserve"> </w:t>
            </w:r>
          </w:p>
          <w:p w:rsidR="00533EC7" w:rsidRPr="00B07ED2" w:rsidRDefault="00533EC7" w:rsidP="004E6D56">
            <w:pPr>
              <w:rPr>
                <w:sz w:val="20"/>
              </w:rPr>
            </w:pPr>
            <w:r w:rsidRPr="00B07ED2">
              <w:rPr>
                <w:sz w:val="20"/>
              </w:rPr>
              <w:t xml:space="preserve">Tabell 2: Studieprogram som har en jenteandel lavere enn </w:t>
            </w:r>
            <w:r>
              <w:rPr>
                <w:sz w:val="20"/>
              </w:rPr>
              <w:t>40</w:t>
            </w:r>
            <w:r w:rsidRPr="00B07ED2">
              <w:rPr>
                <w:sz w:val="20"/>
              </w:rPr>
              <w:t xml:space="preserve"> % de siste tre årene.</w:t>
            </w:r>
          </w:p>
          <w:p w:rsidR="00533EC7" w:rsidRPr="00B07ED2" w:rsidRDefault="00533EC7" w:rsidP="004E6D56"/>
          <w:p w:rsidR="00533EC7" w:rsidRPr="00B07ED2" w:rsidRDefault="00533EC7" w:rsidP="004E6D56">
            <w:pPr>
              <w:rPr>
                <w:b/>
                <w:sz w:val="28"/>
                <w:szCs w:val="28"/>
              </w:rPr>
            </w:pPr>
          </w:p>
          <w:p w:rsidR="00533EC7" w:rsidRPr="00B07ED2" w:rsidRDefault="00533EC7" w:rsidP="004E6D56">
            <w:pPr>
              <w:rPr>
                <w:b/>
                <w:sz w:val="28"/>
                <w:szCs w:val="28"/>
              </w:rPr>
            </w:pPr>
            <w:r w:rsidRPr="00B07ED2">
              <w:rPr>
                <w:b/>
                <w:sz w:val="28"/>
                <w:szCs w:val="28"/>
              </w:rPr>
              <w:t>Kvinnelige sivilingeniører i yrkeslivet</w:t>
            </w:r>
          </w:p>
          <w:p w:rsidR="00533EC7" w:rsidRPr="00B07ED2" w:rsidRDefault="00533EC7" w:rsidP="004E6D56"/>
          <w:p w:rsidR="00533EC7" w:rsidRPr="00B07ED2" w:rsidRDefault="00533EC7" w:rsidP="004E6D56">
            <w:r w:rsidRPr="00B07ED2">
              <w:t xml:space="preserve">Vi følger utviklingen nøye </w:t>
            </w:r>
            <w:proofErr w:type="spellStart"/>
            <w:r w:rsidRPr="00B07ED2">
              <w:t>mht</w:t>
            </w:r>
            <w:proofErr w:type="spellEnd"/>
            <w:r w:rsidRPr="00B07ED2">
              <w:t xml:space="preserve"> jenteandel både på studiene og i yrkeslivet. I følge tall fra </w:t>
            </w:r>
            <w:proofErr w:type="spellStart"/>
            <w:r w:rsidRPr="00B07ED2">
              <w:t>Tekna</w:t>
            </w:r>
            <w:proofErr w:type="spellEnd"/>
            <w:r w:rsidRPr="00B07ED2">
              <w:t xml:space="preserve"> (Teknisk naturvitenskapelig forening), som er Norges største fagforening for de med master/hovedfag innenfor naturvitenskap eller </w:t>
            </w:r>
            <w:proofErr w:type="gramStart"/>
            <w:r w:rsidRPr="00B07ED2">
              <w:t>teknologi/</w:t>
            </w:r>
            <w:proofErr w:type="spellStart"/>
            <w:r w:rsidRPr="00B07ED2">
              <w:t>siv.ing</w:t>
            </w:r>
            <w:proofErr w:type="spellEnd"/>
            <w:r w:rsidRPr="00B07ED2">
              <w:t>.</w:t>
            </w:r>
            <w:r w:rsidR="00033A50">
              <w:t>,</w:t>
            </w:r>
            <w:proofErr w:type="gramEnd"/>
            <w:r w:rsidRPr="00B07ED2">
              <w:t xml:space="preserve"> var andelen kvinner i yrkeslivet i: </w:t>
            </w:r>
          </w:p>
          <w:p w:rsidR="00533EC7" w:rsidRPr="00B07ED2" w:rsidRDefault="00533EC7" w:rsidP="004E6D56">
            <w:r w:rsidRPr="00B07ED2">
              <w:t>2007: 23 %</w:t>
            </w:r>
            <w:r w:rsidRPr="00B07ED2">
              <w:tab/>
              <w:t xml:space="preserve"> </w:t>
            </w:r>
          </w:p>
          <w:p w:rsidR="00533EC7" w:rsidRPr="00B07ED2" w:rsidRDefault="00533EC7" w:rsidP="004E6D56">
            <w:r w:rsidRPr="00B07ED2">
              <w:t xml:space="preserve">2013: 26,9 %     </w:t>
            </w:r>
          </w:p>
          <w:p w:rsidR="00533EC7" w:rsidRPr="00B07ED2" w:rsidRDefault="00533EC7" w:rsidP="004E6D56">
            <w:r w:rsidRPr="00B07ED2">
              <w:t>2014: 27,7 %</w:t>
            </w:r>
          </w:p>
          <w:p w:rsidR="00533EC7" w:rsidRPr="00B07ED2" w:rsidRDefault="00533EC7" w:rsidP="004E6D56">
            <w:r w:rsidRPr="00B07ED2">
              <w:t>2015: 28 %</w:t>
            </w:r>
          </w:p>
          <w:p w:rsidR="00533EC7" w:rsidRPr="00B07ED2" w:rsidRDefault="00533EC7" w:rsidP="004E6D56"/>
          <w:p w:rsidR="00533EC7" w:rsidRPr="00B07ED2" w:rsidRDefault="00533EC7" w:rsidP="004E6D56">
            <w:r w:rsidRPr="00B07ED2">
              <w:t xml:space="preserve">Dette viser at kvinnelige sivilingeniører fortsatt er klart underrepresentert i yrkeslivet. Utviklingen går fremover, men </w:t>
            </w:r>
            <w:r>
              <w:t xml:space="preserve">samlet sett går det </w:t>
            </w:r>
            <w:r w:rsidRPr="00B07ED2">
              <w:t xml:space="preserve">nokså sakte. </w:t>
            </w:r>
          </w:p>
          <w:p w:rsidR="00533EC7" w:rsidRPr="00B07ED2" w:rsidRDefault="00533EC7" w:rsidP="004E6D56"/>
          <w:p w:rsidR="00533EC7" w:rsidRPr="00B07ED2" w:rsidRDefault="00533EC7" w:rsidP="004E6D56">
            <w:r w:rsidRPr="00B07ED2">
              <w:t xml:space="preserve">Fra </w:t>
            </w:r>
            <w:proofErr w:type="spellStart"/>
            <w:r w:rsidRPr="00B07ED2">
              <w:t>Tekna</w:t>
            </w:r>
            <w:proofErr w:type="spellEnd"/>
            <w:r w:rsidRPr="00B07ED2">
              <w:t xml:space="preserve"> har vi fått oversikt over andelen kvinner innenfor de ulike fagretningene pr 01.01.15.</w:t>
            </w:r>
          </w:p>
          <w:p w:rsidR="00533EC7" w:rsidRPr="00B07ED2" w:rsidRDefault="00533EC7" w:rsidP="004E6D56">
            <w:r w:rsidRPr="00B07ED2">
              <w:t xml:space="preserve">Vi ser til dels den samme tendensen her som ved våre studieprogram. Det begynner å bli ganske bra med kvinner innenfor Geofag og petroleumsteknikk og Samfunnsvitenskap og teknologiledelse, henholdsvis 36,9 % og 35,6 %. Mens kvinneandelen på IKT og Elektro og telekommunikasjon er </w:t>
            </w:r>
            <w:r>
              <w:t xml:space="preserve">svært </w:t>
            </w:r>
            <w:r w:rsidRPr="00B07ED2">
              <w:t xml:space="preserve">lav, under 20 %. Også Maskinteknikk og Marinteknikk har svært lav kvinneandel (17%). </w:t>
            </w:r>
          </w:p>
          <w:p w:rsidR="00533EC7" w:rsidRPr="00B07ED2" w:rsidRDefault="00533EC7" w:rsidP="004E6D56">
            <w:r w:rsidRPr="00B07ED2">
              <w:t xml:space="preserve">Blant studentmedlemmene i </w:t>
            </w:r>
            <w:proofErr w:type="spellStart"/>
            <w:r w:rsidRPr="00B07ED2">
              <w:t>Tekna</w:t>
            </w:r>
            <w:proofErr w:type="spellEnd"/>
            <w:r w:rsidRPr="00B07ED2">
              <w:t xml:space="preserve"> er det derimot jevnere, med en kvinneandel </w:t>
            </w:r>
            <w:r w:rsidR="00033A50">
              <w:t xml:space="preserve">samlet </w:t>
            </w:r>
            <w:r w:rsidRPr="00B07ED2">
              <w:t>på 40 %.</w:t>
            </w:r>
          </w:p>
          <w:p w:rsidR="00533EC7" w:rsidRPr="00B07ED2" w:rsidRDefault="00533EC7" w:rsidP="004E6D56"/>
          <w:p w:rsidR="00533EC7" w:rsidRPr="00B07ED2" w:rsidRDefault="00533EC7" w:rsidP="004E6D56">
            <w:r w:rsidRPr="00B07ED2">
              <w:t>For oversiktens skyld er alle fagretningene tatt med (ikke kun de som tilsvarer program hos oss der det gis jentepoeng).</w:t>
            </w:r>
          </w:p>
          <w:p w:rsidR="00533EC7" w:rsidRPr="00B07ED2" w:rsidRDefault="00533EC7" w:rsidP="004E6D56"/>
          <w:p w:rsidR="00533EC7" w:rsidRPr="00B07ED2" w:rsidRDefault="00533EC7" w:rsidP="004E6D56"/>
          <w:tbl>
            <w:tblPr>
              <w:tblW w:w="7225" w:type="dxa"/>
              <w:tblInd w:w="634" w:type="dxa"/>
              <w:tblCellMar>
                <w:left w:w="70" w:type="dxa"/>
                <w:right w:w="70" w:type="dxa"/>
              </w:tblCellMar>
              <w:tblLook w:val="04A0" w:firstRow="1" w:lastRow="0" w:firstColumn="1" w:lastColumn="0" w:noHBand="0" w:noVBand="1"/>
            </w:tblPr>
            <w:tblGrid>
              <w:gridCol w:w="3500"/>
              <w:gridCol w:w="1200"/>
              <w:gridCol w:w="1249"/>
              <w:gridCol w:w="1276"/>
            </w:tblGrid>
            <w:tr w:rsidR="00533EC7" w:rsidRPr="00046D9C" w:rsidTr="004E6D56">
              <w:trPr>
                <w:trHeight w:val="725"/>
              </w:trPr>
              <w:tc>
                <w:tcPr>
                  <w:tcW w:w="3500" w:type="dxa"/>
                  <w:tcBorders>
                    <w:top w:val="single" w:sz="4" w:space="0" w:color="auto"/>
                    <w:left w:val="single" w:sz="4" w:space="0" w:color="auto"/>
                    <w:bottom w:val="double" w:sz="6" w:space="0" w:color="auto"/>
                    <w:right w:val="single" w:sz="4" w:space="0" w:color="auto"/>
                  </w:tcBorders>
                  <w:shd w:val="clear" w:color="auto" w:fill="auto"/>
                  <w:vAlign w:val="bottom"/>
                </w:tcPr>
                <w:p w:rsidR="00533EC7" w:rsidRPr="00B07ED2" w:rsidRDefault="00533EC7" w:rsidP="004E6D56">
                  <w:pPr>
                    <w:rPr>
                      <w:rFonts w:ascii="Arial Narrow" w:hAnsi="Arial Narrow"/>
                      <w:b/>
                      <w:bCs/>
                      <w:sz w:val="20"/>
                    </w:rPr>
                  </w:pPr>
                  <w:r w:rsidRPr="00B07ED2">
                    <w:rPr>
                      <w:rFonts w:ascii="Arial Narrow" w:hAnsi="Arial Narrow"/>
                      <w:b/>
                      <w:bCs/>
                      <w:sz w:val="20"/>
                    </w:rPr>
                    <w:t>Ordinære medlemmer, eks studenter</w:t>
                  </w:r>
                </w:p>
              </w:tc>
              <w:tc>
                <w:tcPr>
                  <w:tcW w:w="1200" w:type="dxa"/>
                  <w:tcBorders>
                    <w:top w:val="single" w:sz="4" w:space="0" w:color="auto"/>
                    <w:left w:val="nil"/>
                    <w:bottom w:val="double" w:sz="6" w:space="0" w:color="auto"/>
                    <w:right w:val="single" w:sz="4" w:space="0" w:color="auto"/>
                  </w:tcBorders>
                  <w:shd w:val="clear" w:color="000000" w:fill="D9D9D9"/>
                  <w:vAlign w:val="bottom"/>
                  <w:hideMark/>
                </w:tcPr>
                <w:p w:rsidR="00533EC7" w:rsidRPr="00B07ED2" w:rsidRDefault="00533EC7" w:rsidP="004E6D56">
                  <w:pPr>
                    <w:rPr>
                      <w:rFonts w:ascii="Arial Narrow" w:hAnsi="Arial Narrow"/>
                      <w:b/>
                      <w:bCs/>
                      <w:sz w:val="20"/>
                    </w:rPr>
                  </w:pPr>
                  <w:r w:rsidRPr="00B07ED2">
                    <w:rPr>
                      <w:rFonts w:ascii="Arial Narrow" w:hAnsi="Arial Narrow"/>
                      <w:b/>
                      <w:bCs/>
                      <w:sz w:val="20"/>
                    </w:rPr>
                    <w:t>I alt</w:t>
                  </w:r>
                </w:p>
              </w:tc>
              <w:tc>
                <w:tcPr>
                  <w:tcW w:w="1249" w:type="dxa"/>
                  <w:tcBorders>
                    <w:top w:val="single" w:sz="4" w:space="0" w:color="auto"/>
                    <w:left w:val="nil"/>
                    <w:bottom w:val="double" w:sz="6" w:space="0" w:color="auto"/>
                    <w:right w:val="single" w:sz="4" w:space="0" w:color="auto"/>
                  </w:tcBorders>
                  <w:shd w:val="clear" w:color="000000" w:fill="D9D9D9"/>
                  <w:vAlign w:val="bottom"/>
                  <w:hideMark/>
                </w:tcPr>
                <w:p w:rsidR="00533EC7" w:rsidRPr="00B07ED2" w:rsidRDefault="00533EC7" w:rsidP="004E6D56">
                  <w:pPr>
                    <w:rPr>
                      <w:rFonts w:ascii="Arial Narrow" w:hAnsi="Arial Narrow"/>
                      <w:b/>
                      <w:bCs/>
                      <w:sz w:val="20"/>
                    </w:rPr>
                  </w:pPr>
                  <w:r w:rsidRPr="00B07ED2">
                    <w:rPr>
                      <w:rFonts w:ascii="Arial Narrow" w:hAnsi="Arial Narrow"/>
                      <w:b/>
                      <w:bCs/>
                      <w:sz w:val="20"/>
                    </w:rPr>
                    <w:t xml:space="preserve">  Kvinner                               </w:t>
                  </w:r>
                </w:p>
              </w:tc>
              <w:tc>
                <w:tcPr>
                  <w:tcW w:w="1276" w:type="dxa"/>
                  <w:tcBorders>
                    <w:top w:val="single" w:sz="4" w:space="0" w:color="auto"/>
                    <w:left w:val="nil"/>
                    <w:bottom w:val="double" w:sz="6" w:space="0" w:color="auto"/>
                    <w:right w:val="single" w:sz="4" w:space="0" w:color="auto"/>
                  </w:tcBorders>
                  <w:shd w:val="clear" w:color="000000" w:fill="D9D9D9"/>
                  <w:vAlign w:val="bottom"/>
                  <w:hideMark/>
                </w:tcPr>
                <w:p w:rsidR="00533EC7" w:rsidRPr="00B07ED2" w:rsidRDefault="00533EC7" w:rsidP="004E6D56">
                  <w:pPr>
                    <w:rPr>
                      <w:rFonts w:ascii="Arial Narrow" w:hAnsi="Arial Narrow"/>
                      <w:b/>
                      <w:bCs/>
                      <w:sz w:val="20"/>
                    </w:rPr>
                  </w:pPr>
                  <w:r w:rsidRPr="00B07ED2">
                    <w:rPr>
                      <w:rFonts w:ascii="Arial Narrow" w:hAnsi="Arial Narrow"/>
                      <w:b/>
                      <w:bCs/>
                      <w:sz w:val="20"/>
                    </w:rPr>
                    <w:t xml:space="preserve"> Kvinner i %              </w:t>
                  </w:r>
                </w:p>
              </w:tc>
            </w:tr>
            <w:tr w:rsidR="00533EC7" w:rsidRPr="00046D9C" w:rsidTr="004E6D56">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Biologi</w:t>
                  </w:r>
                </w:p>
              </w:tc>
              <w:tc>
                <w:tcPr>
                  <w:tcW w:w="1200" w:type="dxa"/>
                  <w:tcBorders>
                    <w:top w:val="nil"/>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1745</w:t>
                  </w:r>
                </w:p>
              </w:tc>
              <w:tc>
                <w:tcPr>
                  <w:tcW w:w="1249" w:type="dxa"/>
                  <w:tcBorders>
                    <w:top w:val="nil"/>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1136</w:t>
                  </w:r>
                </w:p>
              </w:tc>
              <w:tc>
                <w:tcPr>
                  <w:tcW w:w="1276" w:type="dxa"/>
                  <w:tcBorders>
                    <w:top w:val="nil"/>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65,1 %</w:t>
                  </w:r>
                </w:p>
              </w:tc>
            </w:tr>
            <w:tr w:rsidR="00533EC7" w:rsidRPr="00046D9C" w:rsidTr="004E6D56">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Byggfag</w:t>
                  </w:r>
                </w:p>
              </w:tc>
              <w:tc>
                <w:tcPr>
                  <w:tcW w:w="1200" w:type="dxa"/>
                  <w:tcBorders>
                    <w:top w:val="nil"/>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6939</w:t>
                  </w:r>
                </w:p>
              </w:tc>
              <w:tc>
                <w:tcPr>
                  <w:tcW w:w="1249" w:type="dxa"/>
                  <w:tcBorders>
                    <w:top w:val="nil"/>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1563</w:t>
                  </w:r>
                </w:p>
              </w:tc>
              <w:tc>
                <w:tcPr>
                  <w:tcW w:w="1276" w:type="dxa"/>
                  <w:tcBorders>
                    <w:top w:val="nil"/>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22,5 %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Data og informasjonsteknologi (IKT)</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5683</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1028</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18,1 %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Elektro og telekommunikasjon</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6294</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750</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11,9 %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Energi og miljø (Elkraft)</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1978</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382</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19,3 %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Fysikk/matematikk</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3866</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1120</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29,0 %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Geofag og petroleumsteknikk</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4154</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1532</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36,9 %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Havbruk og sjømat</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437</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201</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46,0 %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 xml:space="preserve">Kjemi </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6355</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3262</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51,3 %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Landbruksfag</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296</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102</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34,5 %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Marinteknikk</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2406</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414</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17,2 %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Maskinteknikk</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6756</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1197</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17,7 %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proofErr w:type="spellStart"/>
                  <w:r w:rsidRPr="00B07ED2">
                    <w:rPr>
                      <w:rFonts w:ascii="Arial" w:hAnsi="Arial" w:cs="Arial"/>
                      <w:sz w:val="18"/>
                      <w:szCs w:val="18"/>
                    </w:rPr>
                    <w:t>Planfag</w:t>
                  </w:r>
                  <w:proofErr w:type="spellEnd"/>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1963</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792</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40,3 %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Samfunnsvitenskap og teknologiledelse</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2537</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902</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35,6 %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 xml:space="preserve">Annet </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140</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62</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44,3 %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Medlemstall totalt</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51549</w:t>
                  </w:r>
                </w:p>
              </w:tc>
              <w:tc>
                <w:tcPr>
                  <w:tcW w:w="1249"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14443</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28,0 %</w:t>
                  </w:r>
                </w:p>
              </w:tc>
            </w:tr>
          </w:tbl>
          <w:p w:rsidR="00533EC7" w:rsidRPr="00B07ED2" w:rsidRDefault="00533EC7" w:rsidP="004E6D56">
            <w:pPr>
              <w:ind w:left="634"/>
            </w:pPr>
          </w:p>
          <w:p w:rsidR="00533EC7" w:rsidRPr="00B07ED2" w:rsidRDefault="00533EC7" w:rsidP="004E6D56">
            <w:pPr>
              <w:ind w:left="634"/>
              <w:rPr>
                <w:sz w:val="20"/>
              </w:rPr>
            </w:pPr>
            <w:r w:rsidRPr="00B07ED2">
              <w:rPr>
                <w:sz w:val="20"/>
              </w:rPr>
              <w:t xml:space="preserve">Tabell 3 Andel kvinner i yrkeslivet blant medlemmer i </w:t>
            </w:r>
            <w:proofErr w:type="spellStart"/>
            <w:r w:rsidRPr="00B07ED2">
              <w:rPr>
                <w:sz w:val="20"/>
              </w:rPr>
              <w:t>Tekna</w:t>
            </w:r>
            <w:proofErr w:type="spellEnd"/>
            <w:r w:rsidRPr="00B07ED2">
              <w:rPr>
                <w:sz w:val="20"/>
              </w:rPr>
              <w:t xml:space="preserve"> fordelt på fagretninger.</w:t>
            </w:r>
          </w:p>
          <w:p w:rsidR="00533EC7" w:rsidRPr="00EA134A" w:rsidRDefault="00533EC7" w:rsidP="004E6D56">
            <w:r w:rsidRPr="00B07ED2">
              <w:tab/>
            </w:r>
          </w:p>
          <w:p w:rsidR="00E434F7" w:rsidRDefault="00E434F7" w:rsidP="004E6D56">
            <w:pPr>
              <w:rPr>
                <w:b/>
                <w:sz w:val="28"/>
                <w:szCs w:val="28"/>
              </w:rPr>
            </w:pPr>
          </w:p>
          <w:p w:rsidR="00533EC7" w:rsidRPr="00B07ED2" w:rsidRDefault="00533EC7" w:rsidP="004E6D56">
            <w:pPr>
              <w:rPr>
                <w:sz w:val="28"/>
                <w:szCs w:val="28"/>
              </w:rPr>
            </w:pPr>
            <w:r w:rsidRPr="00B07ED2">
              <w:rPr>
                <w:b/>
                <w:sz w:val="28"/>
                <w:szCs w:val="28"/>
              </w:rPr>
              <w:t>Lov og forskrift</w:t>
            </w:r>
          </w:p>
          <w:p w:rsidR="00533EC7" w:rsidRPr="00B07ED2" w:rsidRDefault="00533EC7" w:rsidP="004E6D56"/>
          <w:p w:rsidR="00533EC7" w:rsidRDefault="00533EC7" w:rsidP="004E6D56">
            <w:r w:rsidRPr="00B07ED2">
              <w:t xml:space="preserve">Diskriminering på grunn av kjønn er etter likestillingsloven forbudt. Positiv særbehandling av det ene kjønn er likevel tillatt hvis særbehandlingen er egnet til å fremme lovens formål og det er et rimelig forhold mellom det man ønsker å oppnå og de ulempene det er for de som rammes.  Lovens formål er å fremme likestilling og tar særlig sikte på å bedre kvinners stilling. Særbehandlingen skal opphøre når formålet med den er oppnådd. Det avgjørende for om det er tillatt å gi jentepoeng vil være at jenter er klart underrepresentert på studiet eller i yrkeslivet. </w:t>
            </w:r>
            <w:r w:rsidRPr="00EA134A">
              <w:t xml:space="preserve">Likestillingsombudet </w:t>
            </w:r>
            <w:r>
              <w:t>(sak 2000/197) b</w:t>
            </w:r>
            <w:r w:rsidRPr="00EA134A">
              <w:t xml:space="preserve">ehandlet en klagesak om jentepoeng på Teknisk design ved NTNU </w:t>
            </w:r>
            <w:r>
              <w:t xml:space="preserve">i 2000 og uttalte at det var </w:t>
            </w:r>
            <w:r w:rsidRPr="00EA134A">
              <w:t>tillatt å gi jentepoeng så lenge kvinneandelen blant yrkesutøverne var mindre enn 40 % selv om jentene var i flertall ved studiet</w:t>
            </w:r>
            <w:r>
              <w:t xml:space="preserve">. I den konkrete saken var andelen kvinner i yrkeslivet med denne fagretningen 34 %, og det var innenfor loven å gi jentepoeng. Jentepoengene ble tatt bort på dette programmet det påfølgende året da målet om kjønnsbalanse i yrkeslivet var nådd. På de fagretningene som i </w:t>
            </w:r>
            <w:r w:rsidRPr="00EA134A">
              <w:t xml:space="preserve">yrkeslivet har over 35 % </w:t>
            </w:r>
            <w:r>
              <w:t>bør derfor jentepoengene tas bort</w:t>
            </w:r>
            <w:r w:rsidRPr="00EA134A">
              <w:t>.</w:t>
            </w:r>
          </w:p>
          <w:p w:rsidR="00533EC7" w:rsidRPr="00EA134A" w:rsidRDefault="00533EC7" w:rsidP="004E6D56">
            <w:r w:rsidRPr="00EA134A">
              <w:t xml:space="preserve"> </w:t>
            </w:r>
          </w:p>
          <w:p w:rsidR="00533EC7" w:rsidRDefault="00533EC7" w:rsidP="004E6D56">
            <w:r w:rsidRPr="00B07ED2">
              <w:t xml:space="preserve">Kunnskapsdepartementet avgjør om det skal gis 1 eller 2 </w:t>
            </w:r>
            <w:proofErr w:type="spellStart"/>
            <w:r w:rsidRPr="00B07ED2">
              <w:t>tilleggspoeng</w:t>
            </w:r>
            <w:proofErr w:type="spellEnd"/>
            <w:r w:rsidRPr="00B07ED2">
              <w:t xml:space="preserve"> for det underrepresenterte kjønn etter anbefaling fra institusjonene.  </w:t>
            </w:r>
            <w:r>
              <w:t xml:space="preserve">Eventuelle endringer i ordningen vil tidligst kunne skje fra opptaket høsten 2016 og KD må ha vår anbefaling innen september </w:t>
            </w:r>
            <w:r w:rsidR="00033A50">
              <w:t xml:space="preserve">året før. </w:t>
            </w:r>
            <w:r>
              <w:t xml:space="preserve"> </w:t>
            </w:r>
          </w:p>
          <w:p w:rsidR="00533EC7" w:rsidRPr="00B07ED2" w:rsidRDefault="00533EC7" w:rsidP="004E6D56">
            <w:pPr>
              <w:rPr>
                <w:b/>
                <w:sz w:val="28"/>
                <w:szCs w:val="28"/>
              </w:rPr>
            </w:pPr>
          </w:p>
          <w:p w:rsidR="00533EC7" w:rsidRPr="00B07ED2" w:rsidRDefault="00533EC7" w:rsidP="004E6D56">
            <w:pPr>
              <w:rPr>
                <w:b/>
                <w:sz w:val="28"/>
                <w:szCs w:val="28"/>
              </w:rPr>
            </w:pPr>
            <w:r w:rsidRPr="00B07ED2">
              <w:rPr>
                <w:b/>
                <w:sz w:val="28"/>
                <w:szCs w:val="28"/>
              </w:rPr>
              <w:t>Virker jentepoeng?</w:t>
            </w:r>
          </w:p>
          <w:p w:rsidR="00533EC7" w:rsidRPr="00B07ED2" w:rsidRDefault="00533EC7" w:rsidP="004E6D56"/>
          <w:p w:rsidR="00533EC7" w:rsidRPr="00B07ED2" w:rsidRDefault="00533EC7" w:rsidP="004E6D56">
            <w:r w:rsidRPr="00B07ED2">
              <w:t xml:space="preserve">På sivilingeniørstudiet er det sterk konkurranse om plassene, og to ekstrapoeng vil medføre et klart fortrinn. Det er imidlertid ikke mulig å si eksakt hvor mange færre jenter som hadde kommet inn hvis de ikke hadde fått jentepoeng. Tas jentepoengene bort vil hele opptaket endres, og for å få eksakte tall måtte det simuleres et helt nytt opptak. NTNU har ikke mulighet til det. </w:t>
            </w:r>
          </w:p>
          <w:p w:rsidR="00533EC7" w:rsidRPr="00B07ED2" w:rsidRDefault="00533EC7" w:rsidP="004E6D56"/>
          <w:p w:rsidR="00533EC7" w:rsidRPr="00B07ED2" w:rsidRDefault="00533EC7" w:rsidP="004E6D56">
            <w:r w:rsidRPr="00B07ED2">
              <w:t>Vi har sett på hva jenteandelen ville ha blitt dersom jentepoengene ble tatt bort på programmene</w:t>
            </w:r>
            <w:r>
              <w:t xml:space="preserve"> i tabell 1</w:t>
            </w:r>
            <w:r w:rsidRPr="00B07ED2">
              <w:t xml:space="preserve">. Vi har også her valgt å ta utgangspunkt i tilbud gitt i hovedopptaket da det er her plassene i hovedsak fordeles. </w:t>
            </w:r>
          </w:p>
          <w:p w:rsidR="00533EC7" w:rsidRDefault="00533EC7" w:rsidP="004E6D56"/>
          <w:p w:rsidR="00533EC7" w:rsidRPr="00B07ED2" w:rsidRDefault="00533EC7" w:rsidP="004E6D56"/>
          <w:tbl>
            <w:tblPr>
              <w:tblW w:w="10054" w:type="dxa"/>
              <w:tblCellMar>
                <w:left w:w="70" w:type="dxa"/>
                <w:right w:w="70" w:type="dxa"/>
              </w:tblCellMar>
              <w:tblLook w:val="04A0" w:firstRow="1" w:lastRow="0" w:firstColumn="1" w:lastColumn="0" w:noHBand="0" w:noVBand="1"/>
            </w:tblPr>
            <w:tblGrid>
              <w:gridCol w:w="3500"/>
              <w:gridCol w:w="1200"/>
              <w:gridCol w:w="1200"/>
              <w:gridCol w:w="1200"/>
              <w:gridCol w:w="1477"/>
              <w:gridCol w:w="1477"/>
            </w:tblGrid>
            <w:tr w:rsidR="00533EC7" w:rsidRPr="00046D9C" w:rsidTr="004E6D56">
              <w:trPr>
                <w:trHeight w:val="569"/>
              </w:trPr>
              <w:tc>
                <w:tcPr>
                  <w:tcW w:w="3500"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533EC7" w:rsidRPr="00B07ED2" w:rsidRDefault="00533EC7" w:rsidP="004E6D56">
                  <w:pPr>
                    <w:rPr>
                      <w:rFonts w:ascii="Arial Narrow" w:hAnsi="Arial Narrow"/>
                      <w:b/>
                      <w:bCs/>
                      <w:sz w:val="20"/>
                    </w:rPr>
                  </w:pPr>
                  <w:proofErr w:type="spellStart"/>
                  <w:r w:rsidRPr="00B07ED2">
                    <w:rPr>
                      <w:rFonts w:ascii="Arial Narrow" w:hAnsi="Arial Narrow"/>
                      <w:b/>
                      <w:bCs/>
                      <w:sz w:val="20"/>
                    </w:rPr>
                    <w:t>Studiumnavn</w:t>
                  </w:r>
                  <w:proofErr w:type="spellEnd"/>
                </w:p>
              </w:tc>
              <w:tc>
                <w:tcPr>
                  <w:tcW w:w="1200" w:type="dxa"/>
                  <w:tcBorders>
                    <w:top w:val="single" w:sz="4" w:space="0" w:color="auto"/>
                    <w:left w:val="nil"/>
                    <w:bottom w:val="double" w:sz="6" w:space="0" w:color="auto"/>
                    <w:right w:val="single" w:sz="4" w:space="0" w:color="auto"/>
                  </w:tcBorders>
                  <w:shd w:val="clear" w:color="000000" w:fill="D9D9D9"/>
                  <w:vAlign w:val="bottom"/>
                  <w:hideMark/>
                </w:tcPr>
                <w:p w:rsidR="00533EC7" w:rsidRPr="00B07ED2" w:rsidRDefault="00533EC7" w:rsidP="004E6D56">
                  <w:pPr>
                    <w:rPr>
                      <w:rFonts w:ascii="Arial Narrow" w:hAnsi="Arial Narrow"/>
                      <w:b/>
                      <w:bCs/>
                      <w:sz w:val="20"/>
                    </w:rPr>
                  </w:pPr>
                  <w:r w:rsidRPr="00B07ED2">
                    <w:rPr>
                      <w:rFonts w:ascii="Arial Narrow" w:hAnsi="Arial Narrow"/>
                      <w:b/>
                      <w:bCs/>
                      <w:sz w:val="20"/>
                    </w:rPr>
                    <w:t>Totalt tilbud 2014</w:t>
                  </w:r>
                </w:p>
              </w:tc>
              <w:tc>
                <w:tcPr>
                  <w:tcW w:w="1200" w:type="dxa"/>
                  <w:tcBorders>
                    <w:top w:val="single" w:sz="4" w:space="0" w:color="auto"/>
                    <w:left w:val="nil"/>
                    <w:bottom w:val="double" w:sz="6" w:space="0" w:color="auto"/>
                    <w:right w:val="single" w:sz="4" w:space="0" w:color="auto"/>
                  </w:tcBorders>
                  <w:shd w:val="clear" w:color="000000" w:fill="D9D9D9"/>
                  <w:vAlign w:val="bottom"/>
                  <w:hideMark/>
                </w:tcPr>
                <w:p w:rsidR="00533EC7" w:rsidRPr="00B07ED2" w:rsidRDefault="00533EC7" w:rsidP="004E6D56">
                  <w:pPr>
                    <w:rPr>
                      <w:rFonts w:ascii="Arial Narrow" w:hAnsi="Arial Narrow"/>
                      <w:b/>
                      <w:bCs/>
                      <w:sz w:val="20"/>
                    </w:rPr>
                  </w:pPr>
                  <w:r w:rsidRPr="00B07ED2">
                    <w:rPr>
                      <w:rFonts w:ascii="Arial Narrow" w:hAnsi="Arial Narrow"/>
                      <w:b/>
                      <w:bCs/>
                      <w:sz w:val="20"/>
                    </w:rPr>
                    <w:t>Jenter tilbud 2014</w:t>
                  </w:r>
                </w:p>
              </w:tc>
              <w:tc>
                <w:tcPr>
                  <w:tcW w:w="1200" w:type="dxa"/>
                  <w:tcBorders>
                    <w:top w:val="single" w:sz="4" w:space="0" w:color="auto"/>
                    <w:left w:val="nil"/>
                    <w:bottom w:val="double" w:sz="6" w:space="0" w:color="auto"/>
                    <w:right w:val="single" w:sz="4" w:space="0" w:color="auto"/>
                  </w:tcBorders>
                  <w:shd w:val="clear" w:color="000000" w:fill="D9D9D9"/>
                  <w:vAlign w:val="bottom"/>
                  <w:hideMark/>
                </w:tcPr>
                <w:p w:rsidR="00533EC7" w:rsidRPr="00B07ED2" w:rsidRDefault="00533EC7" w:rsidP="004E6D56">
                  <w:pPr>
                    <w:rPr>
                      <w:rFonts w:ascii="Arial Narrow" w:hAnsi="Arial Narrow"/>
                      <w:b/>
                      <w:bCs/>
                      <w:sz w:val="20"/>
                    </w:rPr>
                  </w:pPr>
                  <w:r w:rsidRPr="00B07ED2">
                    <w:rPr>
                      <w:rFonts w:ascii="Arial Narrow" w:hAnsi="Arial Narrow"/>
                      <w:b/>
                      <w:bCs/>
                      <w:sz w:val="20"/>
                    </w:rPr>
                    <w:t>Prosent jenter 2014</w:t>
                  </w:r>
                </w:p>
              </w:tc>
              <w:tc>
                <w:tcPr>
                  <w:tcW w:w="1477" w:type="dxa"/>
                  <w:tcBorders>
                    <w:top w:val="single" w:sz="4" w:space="0" w:color="auto"/>
                    <w:left w:val="nil"/>
                    <w:bottom w:val="double" w:sz="6" w:space="0" w:color="auto"/>
                    <w:right w:val="single" w:sz="4" w:space="0" w:color="auto"/>
                  </w:tcBorders>
                  <w:shd w:val="clear" w:color="000000" w:fill="D9D9D9"/>
                  <w:vAlign w:val="bottom"/>
                  <w:hideMark/>
                </w:tcPr>
                <w:p w:rsidR="00533EC7" w:rsidRPr="00B07ED2" w:rsidRDefault="00533EC7" w:rsidP="004E6D56">
                  <w:pPr>
                    <w:rPr>
                      <w:rFonts w:ascii="Arial Narrow" w:hAnsi="Arial Narrow"/>
                      <w:b/>
                      <w:bCs/>
                      <w:sz w:val="20"/>
                    </w:rPr>
                  </w:pPr>
                  <w:r w:rsidRPr="00B07ED2">
                    <w:rPr>
                      <w:rFonts w:ascii="Arial Narrow" w:hAnsi="Arial Narrow"/>
                      <w:b/>
                      <w:bCs/>
                      <w:sz w:val="20"/>
                    </w:rPr>
                    <w:t>Jenter tilbud u/kjønnspoeng</w:t>
                  </w:r>
                </w:p>
              </w:tc>
              <w:tc>
                <w:tcPr>
                  <w:tcW w:w="1477" w:type="dxa"/>
                  <w:tcBorders>
                    <w:top w:val="single" w:sz="4" w:space="0" w:color="auto"/>
                    <w:left w:val="nil"/>
                    <w:bottom w:val="double" w:sz="6" w:space="0" w:color="auto"/>
                    <w:right w:val="single" w:sz="4" w:space="0" w:color="auto"/>
                  </w:tcBorders>
                  <w:shd w:val="clear" w:color="000000" w:fill="D9D9D9"/>
                  <w:vAlign w:val="bottom"/>
                  <w:hideMark/>
                </w:tcPr>
                <w:p w:rsidR="00533EC7" w:rsidRPr="00B07ED2" w:rsidRDefault="00533EC7" w:rsidP="004E6D56">
                  <w:pPr>
                    <w:rPr>
                      <w:rFonts w:ascii="Arial Narrow" w:hAnsi="Arial Narrow"/>
                      <w:b/>
                      <w:bCs/>
                      <w:sz w:val="20"/>
                    </w:rPr>
                  </w:pPr>
                  <w:r w:rsidRPr="00B07ED2">
                    <w:rPr>
                      <w:rFonts w:ascii="Arial Narrow" w:hAnsi="Arial Narrow"/>
                      <w:b/>
                      <w:bCs/>
                      <w:sz w:val="20"/>
                    </w:rPr>
                    <w:t>Prosent jenter u/kjønnspoeng 2014</w:t>
                  </w:r>
                </w:p>
              </w:tc>
            </w:tr>
            <w:tr w:rsidR="00533EC7" w:rsidRPr="00046D9C" w:rsidTr="004E6D56">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Pr>
                      <w:rFonts w:ascii="Arial" w:hAnsi="Arial" w:cs="Arial"/>
                      <w:sz w:val="18"/>
                      <w:szCs w:val="18"/>
                    </w:rPr>
                    <w:t>Industriell økonomi og teknologiledelse</w:t>
                  </w:r>
                </w:p>
              </w:tc>
              <w:tc>
                <w:tcPr>
                  <w:tcW w:w="1200" w:type="dxa"/>
                  <w:tcBorders>
                    <w:top w:val="nil"/>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210</w:t>
                  </w:r>
                </w:p>
              </w:tc>
              <w:tc>
                <w:tcPr>
                  <w:tcW w:w="1200" w:type="dxa"/>
                  <w:tcBorders>
                    <w:top w:val="nil"/>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91</w:t>
                  </w:r>
                </w:p>
              </w:tc>
              <w:tc>
                <w:tcPr>
                  <w:tcW w:w="1200" w:type="dxa"/>
                  <w:tcBorders>
                    <w:top w:val="nil"/>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43,3</w:t>
                  </w:r>
                </w:p>
              </w:tc>
              <w:tc>
                <w:tcPr>
                  <w:tcW w:w="1477" w:type="dxa"/>
                  <w:tcBorders>
                    <w:top w:val="nil"/>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Pr>
                      <w:rFonts w:ascii="Arial" w:hAnsi="Arial" w:cs="Arial"/>
                      <w:color w:val="000000"/>
                      <w:sz w:val="18"/>
                      <w:szCs w:val="18"/>
                    </w:rPr>
                    <w:t>31</w:t>
                  </w:r>
                </w:p>
              </w:tc>
              <w:tc>
                <w:tcPr>
                  <w:tcW w:w="1477" w:type="dxa"/>
                  <w:tcBorders>
                    <w:top w:val="nil"/>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Pr>
                      <w:rFonts w:ascii="Arial" w:hAnsi="Arial" w:cs="Arial"/>
                      <w:color w:val="000000"/>
                      <w:sz w:val="18"/>
                      <w:szCs w:val="18"/>
                    </w:rPr>
                    <w:t>14,80 %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Pr>
                      <w:rFonts w:ascii="Arial" w:hAnsi="Arial" w:cs="Arial"/>
                      <w:sz w:val="18"/>
                      <w:szCs w:val="18"/>
                    </w:rPr>
                    <w:t>Energi og miljø</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214</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82</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38,3 %</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Pr>
                      <w:rFonts w:ascii="Arial" w:hAnsi="Arial" w:cs="Arial"/>
                      <w:color w:val="000000"/>
                      <w:sz w:val="18"/>
                      <w:szCs w:val="18"/>
                    </w:rPr>
                    <w:t>42</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Pr>
                      <w:rFonts w:ascii="Arial" w:hAnsi="Arial" w:cs="Arial"/>
                      <w:color w:val="000000"/>
                      <w:sz w:val="18"/>
                      <w:szCs w:val="18"/>
                    </w:rPr>
                    <w:t>19,60 %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Nanoteknologi</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60</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30</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50,0 %</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sidRPr="00B07ED2">
                    <w:rPr>
                      <w:rFonts w:ascii="Arial" w:hAnsi="Arial" w:cs="Arial"/>
                      <w:color w:val="000000"/>
                      <w:sz w:val="18"/>
                      <w:szCs w:val="18"/>
                    </w:rPr>
                    <w:t>13</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sidRPr="00B07ED2">
                    <w:rPr>
                      <w:rFonts w:ascii="Arial" w:hAnsi="Arial" w:cs="Arial"/>
                      <w:color w:val="000000"/>
                      <w:sz w:val="18"/>
                      <w:szCs w:val="18"/>
                    </w:rPr>
                    <w:t>21,70 %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sidRPr="00B07ED2">
                    <w:rPr>
                      <w:rFonts w:ascii="Arial" w:hAnsi="Arial" w:cs="Arial"/>
                      <w:sz w:val="18"/>
                      <w:szCs w:val="18"/>
                    </w:rPr>
                    <w:t>Tekniske geofag</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50</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30</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sidRPr="00B07ED2">
                    <w:rPr>
                      <w:rFonts w:ascii="Arial" w:hAnsi="Arial" w:cs="Arial"/>
                      <w:sz w:val="18"/>
                      <w:szCs w:val="18"/>
                    </w:rPr>
                    <w:t>60,0 %</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sidRPr="00B07ED2">
                    <w:rPr>
                      <w:rFonts w:ascii="Arial" w:hAnsi="Arial" w:cs="Arial"/>
                      <w:color w:val="000000"/>
                      <w:sz w:val="18"/>
                      <w:szCs w:val="18"/>
                    </w:rPr>
                    <w:t>12</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sidRPr="00B07ED2">
                    <w:rPr>
                      <w:rFonts w:ascii="Arial" w:hAnsi="Arial" w:cs="Arial"/>
                      <w:color w:val="000000"/>
                      <w:sz w:val="18"/>
                      <w:szCs w:val="18"/>
                    </w:rPr>
                    <w:t>24 %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Pr>
                      <w:rFonts w:ascii="Arial" w:hAnsi="Arial" w:cs="Arial"/>
                      <w:sz w:val="18"/>
                      <w:szCs w:val="18"/>
                    </w:rPr>
                    <w:t xml:space="preserve">Petroleumsfag </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82</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40</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48,8 %</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Pr>
                      <w:rFonts w:ascii="Arial" w:hAnsi="Arial" w:cs="Arial"/>
                      <w:color w:val="000000"/>
                      <w:sz w:val="18"/>
                      <w:szCs w:val="18"/>
                    </w:rPr>
                    <w:t>20</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Pr>
                      <w:rFonts w:ascii="Arial" w:hAnsi="Arial" w:cs="Arial"/>
                      <w:color w:val="000000"/>
                      <w:sz w:val="18"/>
                      <w:szCs w:val="18"/>
                    </w:rPr>
                    <w:t>24,40 %</w:t>
                  </w:r>
                </w:p>
              </w:tc>
            </w:tr>
            <w:tr w:rsidR="00533EC7" w:rsidRPr="00046D9C" w:rsidTr="004E6D5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EC7" w:rsidRPr="00B07ED2" w:rsidRDefault="00533EC7" w:rsidP="004E6D56">
                  <w:pPr>
                    <w:rPr>
                      <w:rFonts w:ascii="Arial" w:hAnsi="Arial" w:cs="Arial"/>
                      <w:sz w:val="18"/>
                      <w:szCs w:val="18"/>
                    </w:rPr>
                  </w:pPr>
                  <w:r>
                    <w:rPr>
                      <w:rFonts w:ascii="Arial" w:hAnsi="Arial" w:cs="Arial"/>
                      <w:sz w:val="18"/>
                      <w:szCs w:val="18"/>
                    </w:rPr>
                    <w:t>Bygg og miljøteknikk</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254</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111</w:t>
                  </w:r>
                </w:p>
              </w:tc>
              <w:tc>
                <w:tcPr>
                  <w:tcW w:w="1200" w:type="dxa"/>
                  <w:tcBorders>
                    <w:top w:val="single" w:sz="4" w:space="0" w:color="auto"/>
                    <w:left w:val="nil"/>
                    <w:bottom w:val="single" w:sz="4" w:space="0" w:color="auto"/>
                    <w:right w:val="single" w:sz="4" w:space="0" w:color="auto"/>
                  </w:tcBorders>
                  <w:shd w:val="clear" w:color="000000" w:fill="D9D9D9"/>
                  <w:noWrap/>
                  <w:vAlign w:val="bottom"/>
                </w:tcPr>
                <w:p w:rsidR="00533EC7" w:rsidRPr="00B07ED2" w:rsidRDefault="00533EC7" w:rsidP="004E6D56">
                  <w:pPr>
                    <w:jc w:val="right"/>
                    <w:rPr>
                      <w:rFonts w:ascii="Arial" w:hAnsi="Arial" w:cs="Arial"/>
                      <w:sz w:val="18"/>
                      <w:szCs w:val="18"/>
                    </w:rPr>
                  </w:pPr>
                  <w:r>
                    <w:rPr>
                      <w:rFonts w:ascii="Arial" w:hAnsi="Arial" w:cs="Arial"/>
                      <w:sz w:val="18"/>
                      <w:szCs w:val="18"/>
                    </w:rPr>
                    <w:t>43,7 %</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Pr>
                      <w:rFonts w:ascii="Arial" w:hAnsi="Arial" w:cs="Arial"/>
                      <w:color w:val="000000"/>
                      <w:sz w:val="18"/>
                      <w:szCs w:val="18"/>
                    </w:rPr>
                    <w:t>65</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533EC7" w:rsidRPr="00B07ED2" w:rsidRDefault="00533EC7" w:rsidP="004E6D56">
                  <w:pPr>
                    <w:jc w:val="right"/>
                    <w:rPr>
                      <w:rFonts w:ascii="Arial" w:hAnsi="Arial" w:cs="Arial"/>
                      <w:color w:val="000000"/>
                      <w:sz w:val="18"/>
                      <w:szCs w:val="18"/>
                    </w:rPr>
                  </w:pPr>
                  <w:r>
                    <w:rPr>
                      <w:rFonts w:ascii="Arial" w:hAnsi="Arial" w:cs="Arial"/>
                      <w:color w:val="000000"/>
                      <w:sz w:val="18"/>
                      <w:szCs w:val="18"/>
                    </w:rPr>
                    <w:t>25,60 %</w:t>
                  </w:r>
                </w:p>
              </w:tc>
            </w:tr>
          </w:tbl>
          <w:p w:rsidR="00533EC7" w:rsidRPr="00B07ED2" w:rsidRDefault="00533EC7" w:rsidP="004E6D56"/>
          <w:p w:rsidR="00533EC7" w:rsidRPr="00B07ED2" w:rsidRDefault="00533EC7" w:rsidP="004E6D56">
            <w:pPr>
              <w:jc w:val="both"/>
            </w:pPr>
            <w:r w:rsidRPr="00B07ED2">
              <w:t xml:space="preserve">Vi ser at jenteandelen som ville ha fått tilbud </w:t>
            </w:r>
            <w:r>
              <w:t xml:space="preserve">ville ha blitt langt lavere. </w:t>
            </w:r>
            <w:r w:rsidRPr="00B07ED2">
              <w:t xml:space="preserve">I utvalget er det forutsatt at poenggrensene ikke ville endret seg som følge av å fjerne jentepoeng. Det er heller ikke tatt hensyn til eventuell jenteandel av de som ville fått nye tilbud fra ventelisten. Det betyr at den reelle jenteandelen uten kjønnspoeng sannsynligvis ligger et sted mellom </w:t>
            </w:r>
            <w:r w:rsidRPr="00B07ED2">
              <w:rPr>
                <w:i/>
              </w:rPr>
              <w:t>Prosent jenter 2014</w:t>
            </w:r>
            <w:r w:rsidRPr="00B07ED2">
              <w:t xml:space="preserve"> og </w:t>
            </w:r>
            <w:r w:rsidRPr="00B07ED2">
              <w:rPr>
                <w:i/>
              </w:rPr>
              <w:t>Prosent jenter u/kjønnspoeng 2014</w:t>
            </w:r>
            <w:r w:rsidRPr="00B07ED2">
              <w:t xml:space="preserve">. </w:t>
            </w:r>
            <w:r>
              <w:t xml:space="preserve">Når </w:t>
            </w:r>
            <w:r w:rsidRPr="00B07ED2">
              <w:t>jentepoeng tas bort må man derfor være forberedt på at det vil bli færre jenter som blir tatt opp til sivilingeniørstudiet</w:t>
            </w:r>
            <w:r>
              <w:t xml:space="preserve">, men ikke nødvendigvis i så stort omfang som vist her. </w:t>
            </w:r>
            <w:r w:rsidRPr="00B07ED2">
              <w:t xml:space="preserve"> </w:t>
            </w:r>
          </w:p>
          <w:p w:rsidR="00533EC7" w:rsidRPr="00B07ED2" w:rsidRDefault="00533EC7" w:rsidP="004E6D56">
            <w:pPr>
              <w:jc w:val="both"/>
            </w:pPr>
          </w:p>
          <w:p w:rsidR="00533EC7" w:rsidRPr="00B07ED2" w:rsidRDefault="00533EC7" w:rsidP="004E6D56">
            <w:pPr>
              <w:rPr>
                <w:b/>
                <w:sz w:val="28"/>
                <w:szCs w:val="28"/>
              </w:rPr>
            </w:pPr>
            <w:proofErr w:type="spellStart"/>
            <w:r w:rsidRPr="00B07ED2">
              <w:rPr>
                <w:b/>
                <w:sz w:val="28"/>
                <w:szCs w:val="28"/>
              </w:rPr>
              <w:t>Tilleggspoeng</w:t>
            </w:r>
            <w:proofErr w:type="spellEnd"/>
            <w:r w:rsidRPr="00B07ED2">
              <w:rPr>
                <w:b/>
                <w:sz w:val="28"/>
                <w:szCs w:val="28"/>
              </w:rPr>
              <w:t xml:space="preserve"> for gutter</w:t>
            </w:r>
          </w:p>
          <w:p w:rsidR="00533EC7" w:rsidRPr="00B07ED2" w:rsidRDefault="00533EC7" w:rsidP="004E6D56"/>
          <w:p w:rsidR="00533EC7" w:rsidRPr="00B07ED2" w:rsidRDefault="00533EC7" w:rsidP="004E6D56">
            <w:r w:rsidRPr="00B07ED2">
              <w:t xml:space="preserve">Det er kun to studier i Norge hvor det gis guttepoeng. Dette er veterinærstudiet og dyrepleierutdanningen ved Norges miljø- og </w:t>
            </w:r>
            <w:proofErr w:type="spellStart"/>
            <w:r w:rsidRPr="00B07ED2">
              <w:t>biovitenskapelige</w:t>
            </w:r>
            <w:proofErr w:type="spellEnd"/>
            <w:r w:rsidRPr="00B07ED2">
              <w:t xml:space="preserve"> universitet i Ås. Universitetet i Oslo vurderte for et par år siden om de skulle innføre guttepoeng på medisin, odontologi og psykologi, men kom til at dette ikke var ønskelig. Innenfor </w:t>
            </w:r>
            <w:proofErr w:type="spellStart"/>
            <w:r w:rsidRPr="00B07ED2">
              <w:t>f.eks</w:t>
            </w:r>
            <w:proofErr w:type="spellEnd"/>
            <w:r w:rsidRPr="00B07ED2">
              <w:t xml:space="preserve"> medisinstudiet er </w:t>
            </w:r>
            <w:proofErr w:type="spellStart"/>
            <w:r w:rsidRPr="00B07ED2">
              <w:t>ca</w:t>
            </w:r>
            <w:proofErr w:type="spellEnd"/>
            <w:r w:rsidRPr="00B07ED2">
              <w:t xml:space="preserve"> 70 % av studentene jenter, men kjønnsbalansen i yrkeslivet blant leger er jevn. I følge tall fra Legeforeningen er andelen kvinnelige leger i yrkeslivet 48 %, og de regner med at den vil passere 50 % i 2016.  Det vil da neppe være tilstrekkelig grunnlag for å innføre ekstra poeng for gutter. Vi anbefaler ikke at ordningen med kjønnspoeng utvides til flere studier. </w:t>
            </w:r>
          </w:p>
          <w:p w:rsidR="00533EC7" w:rsidRPr="00B07ED2" w:rsidRDefault="00533EC7" w:rsidP="004E6D56"/>
          <w:p w:rsidR="00533EC7" w:rsidRDefault="003C10F8" w:rsidP="004E6D56">
            <w:pPr>
              <w:rPr>
                <w:b/>
                <w:sz w:val="28"/>
                <w:szCs w:val="28"/>
              </w:rPr>
            </w:pPr>
            <w:r>
              <w:rPr>
                <w:b/>
                <w:sz w:val="28"/>
                <w:szCs w:val="28"/>
              </w:rPr>
              <w:t xml:space="preserve">Rektors vurdering </w:t>
            </w:r>
          </w:p>
          <w:p w:rsidR="00533EC7" w:rsidRDefault="00533EC7" w:rsidP="004E6D56">
            <w:pPr>
              <w:rPr>
                <w:b/>
                <w:sz w:val="28"/>
                <w:szCs w:val="28"/>
              </w:rPr>
            </w:pPr>
          </w:p>
          <w:p w:rsidR="00F357F2" w:rsidRDefault="003C10F8" w:rsidP="003C10F8">
            <w:r>
              <w:t xml:space="preserve">Saken har vært drøftet i FUS og dekanmøte. Fra fakultetenes side er det pekt på at det anses som svært positivt at det har blitt en jevnere kjønnsbalanse på studiene og at jentepoengene bidrar til å rette opp en skjevhet i yrkeslivet. </w:t>
            </w:r>
            <w:r w:rsidR="00F357F2">
              <w:t xml:space="preserve">Sannsynligvis </w:t>
            </w:r>
            <w:r w:rsidR="0058479F">
              <w:t xml:space="preserve">fører </w:t>
            </w:r>
            <w:r w:rsidR="00F357F2">
              <w:t xml:space="preserve">jentepoengene til at flere jenter søker seg til teknologistudiene hvilket bidrar til </w:t>
            </w:r>
            <w:r w:rsidR="0058479F">
              <w:t>høyere k</w:t>
            </w:r>
            <w:r w:rsidR="00F357F2">
              <w:t xml:space="preserve">valitet på de som kommer inn. </w:t>
            </w:r>
            <w:r w:rsidR="004718C5">
              <w:t xml:space="preserve">Studenttinget går for en </w:t>
            </w:r>
            <w:r w:rsidR="00AD48EB">
              <w:t xml:space="preserve">full </w:t>
            </w:r>
            <w:r w:rsidR="004718C5">
              <w:t>avvikling av kjønnspoeng</w:t>
            </w:r>
            <w:r w:rsidR="00401537">
              <w:t>,</w:t>
            </w:r>
            <w:r w:rsidR="004718C5">
              <w:t xml:space="preserve"> og s</w:t>
            </w:r>
            <w:r w:rsidR="00F357F2">
              <w:t xml:space="preserve">tudentrepresentantene </w:t>
            </w:r>
            <w:r w:rsidR="004718C5">
              <w:t>i dekanmøte pekte på at det var v</w:t>
            </w:r>
            <w:r w:rsidR="00F357F2">
              <w:t>iktig å ha en plan for avviklingen av jente</w:t>
            </w:r>
            <w:r w:rsidR="00AD48EB">
              <w:t>poengene.</w:t>
            </w:r>
          </w:p>
          <w:p w:rsidR="00F357F2" w:rsidRDefault="00F357F2" w:rsidP="003C10F8"/>
          <w:p w:rsidR="00F357F2" w:rsidRDefault="0058479F" w:rsidP="00F357F2">
            <w:r>
              <w:t xml:space="preserve">Rektor </w:t>
            </w:r>
            <w:r w:rsidR="003C10F8">
              <w:t xml:space="preserve">vurderer det slik at jentepoeng fortsatt bør gis ved opptak til sivilingeniørstudiet, men </w:t>
            </w:r>
            <w:r w:rsidR="00F357F2">
              <w:t xml:space="preserve">at de avvikles på de studiene som har mer enn 35 % kvinneandel i yrkeslivet. Dette </w:t>
            </w:r>
            <w:r w:rsidR="009F68E6">
              <w:t>er</w:t>
            </w:r>
            <w:r w:rsidR="00F357F2">
              <w:t xml:space="preserve"> Teknisk geofag, Petroleumsfag og Industriell økonomi. D</w:t>
            </w:r>
            <w:r w:rsidR="00033A50">
              <w:t>e</w:t>
            </w:r>
            <w:r w:rsidR="00F357F2">
              <w:t xml:space="preserve"> har alle en jenteandel </w:t>
            </w:r>
            <w:r w:rsidR="009F68E6">
              <w:t xml:space="preserve">ved tilbud om studieplass </w:t>
            </w:r>
            <w:r w:rsidR="00F357F2">
              <w:t xml:space="preserve">på mellom 40 og 50 % eller mer, og den har ligget på dette nivået både når man ser på gjennomsnittet de siste tre og fem årene. Også for Nanoteknologi bør jentepoengene </w:t>
            </w:r>
            <w:r w:rsidR="009F68E6">
              <w:t xml:space="preserve">avvikles. Jenteandelen blant de som ble tilbudt plass var på over </w:t>
            </w:r>
            <w:r w:rsidR="00F357F2">
              <w:t xml:space="preserve">40 % i hele perioden 2010-2014. Det er naturlig nok ingen egen fagretning for Nanoteknologi på </w:t>
            </w:r>
            <w:proofErr w:type="spellStart"/>
            <w:r w:rsidR="00F357F2">
              <w:t>Teknas</w:t>
            </w:r>
            <w:proofErr w:type="spellEnd"/>
            <w:r w:rsidR="00F357F2">
              <w:t xml:space="preserve"> oversikt. Dette er et </w:t>
            </w:r>
            <w:r w:rsidR="00ED305E">
              <w:t>relativt nytt studieprogram s</w:t>
            </w:r>
            <w:r w:rsidR="00F357F2">
              <w:t xml:space="preserve">om er tverrfaglig, og man vil sannsynligvis finne medlemmene i ulike faggrupper. </w:t>
            </w:r>
          </w:p>
          <w:p w:rsidR="00F357F2" w:rsidRDefault="00F357F2" w:rsidP="003C10F8"/>
          <w:p w:rsidR="0058479F" w:rsidRDefault="00F357F2" w:rsidP="003C10F8">
            <w:r>
              <w:t>For å sikre en viss forutberegnelighet for søkerne anbefaler vi at jentepoeng</w:t>
            </w:r>
            <w:r w:rsidR="0058479F">
              <w:t xml:space="preserve">ene for disse studieprogrammene </w:t>
            </w:r>
            <w:r>
              <w:t xml:space="preserve">avvikles fra og med opptaket 2017. </w:t>
            </w:r>
            <w:r w:rsidR="0058479F">
              <w:t xml:space="preserve">Da vil det ennå være to opptak hvor det gis jentepoeng. Utviklingen går så vidt sakte i yrkeslivet at vi fortsatt vil ligge innenfor 40 %-grensa som avgjør om tiltaket vil være lovlig. Søkerne bør ha </w:t>
            </w:r>
            <w:r>
              <w:t xml:space="preserve">mulighet for å innrette seg </w:t>
            </w:r>
            <w:r w:rsidR="0058479F">
              <w:t xml:space="preserve">på videregående skole </w:t>
            </w:r>
            <w:r>
              <w:t xml:space="preserve">med tanke på at de ikke kan regne med jentepoeng ved søknad til disse studiene. </w:t>
            </w:r>
          </w:p>
          <w:p w:rsidR="0058479F" w:rsidRDefault="0058479F" w:rsidP="003C10F8"/>
          <w:p w:rsidR="0058479F" w:rsidRDefault="0058479F" w:rsidP="0058479F">
            <w:r>
              <w:t>For de øvrige programmene må ordningen vurderes etter hvert opptak. Når kvinneandelen i yrkeslivet er kommet opp i 35 % avvikles jentepoengene. Er kvinneandelen i yrkeslivet lavere</w:t>
            </w:r>
            <w:r w:rsidR="00E434F7">
              <w:t>,</w:t>
            </w:r>
            <w:r>
              <w:t xml:space="preserve"> avvikles jentepoengene når jenteandelen som har fått tilbud om studieplass har vært 50 % eller mer de siste tre årene. </w:t>
            </w:r>
          </w:p>
          <w:p w:rsidR="00533EC7" w:rsidRPr="009F68E6" w:rsidRDefault="00533EC7" w:rsidP="009F68E6"/>
        </w:tc>
      </w:tr>
    </w:tbl>
    <w:p w:rsidR="00533EC7" w:rsidRDefault="00533EC7" w:rsidP="00533EC7">
      <w:pPr>
        <w:rPr>
          <w:b/>
          <w:sz w:val="28"/>
          <w:szCs w:val="28"/>
        </w:rPr>
      </w:pPr>
    </w:p>
    <w:p w:rsidR="00533EC7" w:rsidRPr="00B07ED2" w:rsidRDefault="00533EC7" w:rsidP="00533EC7">
      <w:pPr>
        <w:rPr>
          <w:b/>
          <w:sz w:val="28"/>
          <w:szCs w:val="28"/>
        </w:rPr>
      </w:pPr>
      <w:r w:rsidRPr="00B07ED2">
        <w:rPr>
          <w:b/>
          <w:sz w:val="28"/>
          <w:szCs w:val="28"/>
        </w:rPr>
        <w:t>Vedlegg</w:t>
      </w:r>
    </w:p>
    <w:p w:rsidR="00533EC7" w:rsidRPr="00520532" w:rsidRDefault="00E439B1" w:rsidP="00533EC7">
      <w:pPr>
        <w:pStyle w:val="Listeavsnitt"/>
        <w:numPr>
          <w:ilvl w:val="0"/>
          <w:numId w:val="1"/>
        </w:numPr>
        <w:rPr>
          <w:lang w:val="nb-NO"/>
        </w:rPr>
      </w:pPr>
      <w:hyperlink r:id="rId8" w:history="1">
        <w:r w:rsidR="00533EC7" w:rsidRPr="00E439B1">
          <w:rPr>
            <w:rStyle w:val="Hyperkobling"/>
            <w:lang w:val="nb-NO"/>
          </w:rPr>
          <w:t>Oversikt over jenteandel av tilbud i hovedopptaket i teknologi og realfag ved NTNU 2010- 2014</w:t>
        </w:r>
      </w:hyperlink>
    </w:p>
    <w:p w:rsidR="00121050" w:rsidRDefault="00E439B1" w:rsidP="00121050">
      <w:pPr>
        <w:pStyle w:val="Listeavsnitt"/>
        <w:numPr>
          <w:ilvl w:val="0"/>
          <w:numId w:val="1"/>
        </w:numPr>
        <w:tabs>
          <w:tab w:val="left" w:pos="993"/>
        </w:tabs>
      </w:pPr>
      <w:hyperlink r:id="rId9" w:history="1">
        <w:r w:rsidR="00533EC7" w:rsidRPr="00E439B1">
          <w:rPr>
            <w:rStyle w:val="Hyperkobling"/>
            <w:lang w:val="nb-NO"/>
          </w:rPr>
          <w:t xml:space="preserve">Oversikt over fordeling på fagretning – fra </w:t>
        </w:r>
        <w:proofErr w:type="spellStart"/>
        <w:r w:rsidR="00533EC7" w:rsidRPr="00E439B1">
          <w:rPr>
            <w:rStyle w:val="Hyperkobling"/>
            <w:lang w:val="nb-NO"/>
          </w:rPr>
          <w:t>Tekna</w:t>
        </w:r>
        <w:proofErr w:type="spellEnd"/>
      </w:hyperlink>
      <w:bookmarkStart w:id="7" w:name="_GoBack"/>
      <w:bookmarkEnd w:id="7"/>
    </w:p>
    <w:sectPr w:rsidR="00121050">
      <w:headerReference w:type="default" r:id="rId10"/>
      <w:footerReference w:type="default" r:id="rId11"/>
      <w:footerReference w:type="first" r:id="rId12"/>
      <w:pgSz w:w="11907" w:h="16840" w:code="9"/>
      <w:pgMar w:top="624" w:right="851" w:bottom="1474" w:left="1247" w:header="624" w:footer="737"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C7" w:rsidRDefault="00533EC7">
      <w:r>
        <w:separator/>
      </w:r>
    </w:p>
  </w:endnote>
  <w:endnote w:type="continuationSeparator" w:id="0">
    <w:p w:rsidR="00533EC7" w:rsidRDefault="0053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78" w:rsidRDefault="00996C78">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0D09D0">
      <w:rPr>
        <w:rStyle w:val="Sidetall"/>
        <w:noProof/>
        <w:sz w:val="20"/>
      </w:rPr>
      <w:t>7</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0D09D0">
      <w:rPr>
        <w:rStyle w:val="Sidetall"/>
        <w:noProof/>
        <w:sz w:val="20"/>
      </w:rPr>
      <w:t>7</w:t>
    </w:r>
    <w:r>
      <w:rPr>
        <w:rStyle w:val="Sidetall"/>
        <w:sz w:val="20"/>
      </w:rPr>
      <w:fldChar w:fldCharType="end"/>
    </w:r>
  </w:p>
  <w:p w:rsidR="00996C78" w:rsidRDefault="00996C78">
    <w:pPr>
      <w:pStyle w:val="Bunntekst"/>
      <w:tabs>
        <w:tab w:val="clear" w:pos="4536"/>
        <w:tab w:val="clear" w:pos="9072"/>
        <w:tab w:val="left" w:pos="2495"/>
        <w:tab w:val="left" w:pos="4990"/>
        <w:tab w:val="left" w:pos="5670"/>
        <w:tab w:val="right" w:pos="9809"/>
      </w:tabs>
      <w:rPr>
        <w:sz w:val="16"/>
      </w:rPr>
    </w:pPr>
  </w:p>
  <w:p w:rsidR="00996C78" w:rsidRDefault="00996C78">
    <w:pPr>
      <w:pStyle w:val="Bunntekst"/>
      <w:tabs>
        <w:tab w:val="clear" w:pos="4536"/>
        <w:tab w:val="clear" w:pos="9072"/>
        <w:tab w:val="right" w:pos="9809"/>
      </w:tabs>
      <w:rPr>
        <w:sz w:val="16"/>
      </w:rPr>
    </w:pPr>
    <w:r>
      <w:rPr>
        <w:sz w:val="16"/>
      </w:rPr>
      <w:t xml:space="preserve">Utskrift: </w:t>
    </w:r>
    <w:r>
      <w:rPr>
        <w:sz w:val="16"/>
      </w:rPr>
      <w:fldChar w:fldCharType="begin"/>
    </w:r>
    <w:r>
      <w:rPr>
        <w:sz w:val="16"/>
      </w:rPr>
      <w:instrText xml:space="preserve"> PRINTDATE \@ "dd.MM.yy HH:mm" \* MERGEFORMAT </w:instrText>
    </w:r>
    <w:r>
      <w:rPr>
        <w:sz w:val="16"/>
      </w:rPr>
      <w:fldChar w:fldCharType="separate"/>
    </w:r>
    <w:r w:rsidR="000D09D0">
      <w:rPr>
        <w:noProof/>
        <w:sz w:val="16"/>
      </w:rPr>
      <w:t>04.03.15 17:25</w:t>
    </w:r>
    <w:r>
      <w:rPr>
        <w:sz w:val="16"/>
      </w:rPr>
      <w:fldChar w:fldCharType="end"/>
    </w:r>
    <w:r>
      <w:rPr>
        <w:sz w:val="16"/>
      </w:rPr>
      <w:tab/>
    </w:r>
    <w:r>
      <w:rPr>
        <w:sz w:val="16"/>
      </w:rPr>
      <w:fldChar w:fldCharType="begin"/>
    </w:r>
    <w:r>
      <w:rPr>
        <w:sz w:val="16"/>
      </w:rPr>
      <w:instrText xml:space="preserve"> FILENAME \* LOWER\p \* MERGEFORMAT </w:instrText>
    </w:r>
    <w:r>
      <w:rPr>
        <w:sz w:val="16"/>
      </w:rPr>
      <w:fldChar w:fldCharType="separate"/>
    </w:r>
    <w:r w:rsidR="000D09D0">
      <w:rPr>
        <w:noProof/>
        <w:sz w:val="16"/>
      </w:rPr>
      <w:t>r:\kollegiet\saker_prot\11.03.15web\s-5.15 jentepoeng ved siving studiene.docx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78" w:rsidRDefault="00996C78">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0D09D0">
      <w:rPr>
        <w:rStyle w:val="Sidetall"/>
        <w:noProof/>
        <w:sz w:val="20"/>
      </w:rPr>
      <w:t>1</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0D09D0">
      <w:rPr>
        <w:rStyle w:val="Sidetall"/>
        <w:noProof/>
        <w:sz w:val="20"/>
      </w:rPr>
      <w:t>7</w:t>
    </w:r>
    <w:r>
      <w:rPr>
        <w:rStyle w:val="Sidetall"/>
        <w:sz w:val="20"/>
      </w:rPr>
      <w:fldChar w:fldCharType="end"/>
    </w:r>
  </w:p>
  <w:p w:rsidR="00996C78" w:rsidRDefault="00996C78">
    <w:pPr>
      <w:pStyle w:val="Bunntekst"/>
      <w:tabs>
        <w:tab w:val="clear" w:pos="4536"/>
        <w:tab w:val="clear" w:pos="9072"/>
        <w:tab w:val="left" w:pos="2495"/>
        <w:tab w:val="left" w:pos="4990"/>
        <w:tab w:val="left" w:pos="5670"/>
        <w:tab w:val="right" w:pos="9809"/>
      </w:tabs>
      <w:rPr>
        <w:sz w:val="16"/>
      </w:rPr>
    </w:pPr>
  </w:p>
  <w:p w:rsidR="00996C78" w:rsidRDefault="00996C78">
    <w:pPr>
      <w:pStyle w:val="Bunntekst"/>
      <w:tabs>
        <w:tab w:val="clear" w:pos="4536"/>
        <w:tab w:val="clear" w:pos="9072"/>
        <w:tab w:val="left" w:pos="2495"/>
        <w:tab w:val="left" w:pos="4990"/>
        <w:tab w:val="left" w:pos="5670"/>
        <w:tab w:val="right" w:pos="9809"/>
      </w:tabs>
      <w:rPr>
        <w:sz w:val="16"/>
      </w:rPr>
    </w:pPr>
    <w:r>
      <w:rPr>
        <w:sz w:val="16"/>
      </w:rPr>
      <w:t xml:space="preserve">Utskrift: </w:t>
    </w:r>
    <w:r>
      <w:rPr>
        <w:sz w:val="16"/>
      </w:rPr>
      <w:fldChar w:fldCharType="begin"/>
    </w:r>
    <w:r>
      <w:rPr>
        <w:sz w:val="16"/>
      </w:rPr>
      <w:instrText xml:space="preserve"> PRINTDATE \@ "dd.MM.yy HH:mm" \* MERGEFORMAT </w:instrText>
    </w:r>
    <w:r>
      <w:rPr>
        <w:sz w:val="16"/>
      </w:rPr>
      <w:fldChar w:fldCharType="separate"/>
    </w:r>
    <w:r w:rsidR="000D09D0">
      <w:rPr>
        <w:noProof/>
        <w:sz w:val="16"/>
      </w:rPr>
      <w:t>04.03.15 17:25</w:t>
    </w:r>
    <w:r>
      <w:rPr>
        <w:sz w:val="16"/>
      </w:rPr>
      <w:fldChar w:fldCharType="end"/>
    </w:r>
    <w:r>
      <w:rPr>
        <w:sz w:val="16"/>
      </w:rPr>
      <w:tab/>
    </w:r>
    <w:r>
      <w:rPr>
        <w:sz w:val="16"/>
      </w:rPr>
      <w:tab/>
    </w:r>
    <w:r>
      <w:rPr>
        <w:sz w:val="16"/>
      </w:rPr>
      <w:tab/>
    </w:r>
    <w:r>
      <w:rPr>
        <w:sz w:val="16"/>
      </w:rPr>
      <w:tab/>
    </w:r>
    <w:r>
      <w:rPr>
        <w:sz w:val="16"/>
      </w:rPr>
      <w:fldChar w:fldCharType="begin"/>
    </w:r>
    <w:r>
      <w:rPr>
        <w:sz w:val="16"/>
      </w:rPr>
      <w:instrText xml:space="preserve"> FILENAME \* LOWER\p \* MERGEFORMAT </w:instrText>
    </w:r>
    <w:r>
      <w:rPr>
        <w:sz w:val="16"/>
      </w:rPr>
      <w:fldChar w:fldCharType="separate"/>
    </w:r>
    <w:r w:rsidR="000D09D0">
      <w:rPr>
        <w:noProof/>
        <w:sz w:val="16"/>
      </w:rPr>
      <w:t>r:\kollegiet\saker_prot\11.03.15web\s-5.15 jentepoeng ved siving studiene.docx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C7" w:rsidRDefault="00533EC7">
      <w:r>
        <w:separator/>
      </w:r>
    </w:p>
  </w:footnote>
  <w:footnote w:type="continuationSeparator" w:id="0">
    <w:p w:rsidR="00533EC7" w:rsidRDefault="00533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78" w:rsidRDefault="00996C78">
    <w:pPr>
      <w:pStyle w:val="Topptekst"/>
      <w:spacing w:line="240" w:lineRule="exact"/>
    </w:pPr>
    <w:r>
      <w:t xml:space="preserve"> </w:t>
    </w:r>
  </w:p>
  <w:p w:rsidR="00996C78" w:rsidRDefault="00996C78">
    <w:pPr>
      <w:pStyle w:val="Topptekst"/>
      <w:spacing w:line="240" w:lineRule="exact"/>
    </w:pPr>
    <w:r>
      <w:t xml:space="preserve"> </w:t>
    </w:r>
  </w:p>
  <w:p w:rsidR="00996C78" w:rsidRDefault="00996C78">
    <w:pPr>
      <w:pStyle w:val="Topptekst"/>
      <w:spacing w:line="24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4846"/>
    <w:multiLevelType w:val="hybridMultilevel"/>
    <w:tmpl w:val="801662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F8F0FB2"/>
    <w:multiLevelType w:val="hybridMultilevel"/>
    <w:tmpl w:val="459827A6"/>
    <w:lvl w:ilvl="0" w:tplc="8D3CBD4A">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C7"/>
    <w:rsid w:val="000155B3"/>
    <w:rsid w:val="00033A50"/>
    <w:rsid w:val="0007315F"/>
    <w:rsid w:val="000D09D0"/>
    <w:rsid w:val="000E0D55"/>
    <w:rsid w:val="00121050"/>
    <w:rsid w:val="002B58D0"/>
    <w:rsid w:val="002C0F6F"/>
    <w:rsid w:val="003455D9"/>
    <w:rsid w:val="00367B95"/>
    <w:rsid w:val="003C10F8"/>
    <w:rsid w:val="00401537"/>
    <w:rsid w:val="004718C5"/>
    <w:rsid w:val="00473D62"/>
    <w:rsid w:val="004758B5"/>
    <w:rsid w:val="004E7864"/>
    <w:rsid w:val="00533EC7"/>
    <w:rsid w:val="0058479F"/>
    <w:rsid w:val="00996C78"/>
    <w:rsid w:val="009F68E6"/>
    <w:rsid w:val="00AD48EB"/>
    <w:rsid w:val="00B5075C"/>
    <w:rsid w:val="00B82C19"/>
    <w:rsid w:val="00BB4403"/>
    <w:rsid w:val="00BC6930"/>
    <w:rsid w:val="00BE704F"/>
    <w:rsid w:val="00C41640"/>
    <w:rsid w:val="00C95C99"/>
    <w:rsid w:val="00CA15AA"/>
    <w:rsid w:val="00D73929"/>
    <w:rsid w:val="00DF3ACE"/>
    <w:rsid w:val="00E434F7"/>
    <w:rsid w:val="00E439B1"/>
    <w:rsid w:val="00E51172"/>
    <w:rsid w:val="00E811C1"/>
    <w:rsid w:val="00ED305E"/>
    <w:rsid w:val="00F357F2"/>
    <w:rsid w:val="00F91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72B45D-9ECA-4A37-BF9E-E94BD8F5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styleId="Listeavsnitt">
    <w:name w:val="List Paragraph"/>
    <w:basedOn w:val="Normal"/>
    <w:uiPriority w:val="34"/>
    <w:qFormat/>
    <w:rsid w:val="00533EC7"/>
    <w:pPr>
      <w:spacing w:after="60"/>
      <w:ind w:left="720" w:right="85"/>
      <w:contextualSpacing/>
    </w:pPr>
    <w:rPr>
      <w:rFonts w:ascii="Times" w:hAnsi="Times"/>
      <w:szCs w:val="24"/>
      <w:lang w:val="en-GB" w:eastAsia="en-US"/>
    </w:rPr>
  </w:style>
  <w:style w:type="character" w:styleId="Hyperkobling">
    <w:name w:val="Hyperlink"/>
    <w:basedOn w:val="Standardskriftforavsnitt"/>
    <w:rsid w:val="00E43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5.15%20Jentepoeng%20vedl%201%20Jenteandel%20NTNU%20Teknologi%20og%20realfag%202010-20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S-5.15%20Jentepoeng%20vedl%202%20Fagretninger%20-%20kj&#248;nn%20-%20Tekna%20pr%2001012015.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UL\SA\STAB\Styre-sak.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Foresp&#248;rsler\Kj&#248;nnspoeng\Bok1%20utvidet%20med%20eldr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spPr>
            <a:solidFill>
              <a:schemeClr val="accent2"/>
            </a:solidFill>
            <a:ln>
              <a:noFill/>
            </a:ln>
            <a:effectLst/>
          </c:spPr>
          <c:invertIfNegative val="0"/>
          <c:cat>
            <c:numRef>
              <c:f>'ANALYSER AMS'!$D$28:$AL$28</c:f>
              <c:numCache>
                <c:formatCode>General</c:formatCode>
                <c:ptCount val="35"/>
                <c:pt idx="0">
                  <c:v>1997</c:v>
                </c:pt>
                <c:pt idx="2">
                  <c:v>1998</c:v>
                </c:pt>
                <c:pt idx="4">
                  <c:v>1999</c:v>
                </c:pt>
                <c:pt idx="6">
                  <c:v>2000</c:v>
                </c:pt>
                <c:pt idx="8">
                  <c:v>2001</c:v>
                </c:pt>
                <c:pt idx="10">
                  <c:v>2002</c:v>
                </c:pt>
                <c:pt idx="12">
                  <c:v>2003</c:v>
                </c:pt>
                <c:pt idx="14">
                  <c:v>2004</c:v>
                </c:pt>
                <c:pt idx="16">
                  <c:v>2005</c:v>
                </c:pt>
                <c:pt idx="18">
                  <c:v>2006</c:v>
                </c:pt>
                <c:pt idx="20">
                  <c:v>2007</c:v>
                </c:pt>
                <c:pt idx="22">
                  <c:v>2008</c:v>
                </c:pt>
                <c:pt idx="24">
                  <c:v>2009</c:v>
                </c:pt>
                <c:pt idx="26">
                  <c:v>2010</c:v>
                </c:pt>
                <c:pt idx="28">
                  <c:v>2011</c:v>
                </c:pt>
                <c:pt idx="30">
                  <c:v>2012</c:v>
                </c:pt>
                <c:pt idx="32">
                  <c:v>2013</c:v>
                </c:pt>
                <c:pt idx="34">
                  <c:v>2014</c:v>
                </c:pt>
              </c:numCache>
            </c:numRef>
          </c:cat>
          <c:val>
            <c:numRef>
              <c:f>'ANALYSER AMS'!$D$29:$AL$29</c:f>
              <c:numCache>
                <c:formatCode>General</c:formatCode>
                <c:ptCount val="35"/>
                <c:pt idx="0" formatCode="0.0\ %">
                  <c:v>0.20470316114109482</c:v>
                </c:pt>
                <c:pt idx="2" formatCode="0.0\ %">
                  <c:v>0.23911222780569513</c:v>
                </c:pt>
                <c:pt idx="4" formatCode="0.0\ %">
                  <c:v>0.22846153846153847</c:v>
                </c:pt>
                <c:pt idx="6" formatCode="0.0\ %">
                  <c:v>0.21483942414174972</c:v>
                </c:pt>
                <c:pt idx="8" formatCode="0.0\ %">
                  <c:v>0.22853638593622241</c:v>
                </c:pt>
                <c:pt idx="10" formatCode="0.0\ %">
                  <c:v>0.25582417582417583</c:v>
                </c:pt>
                <c:pt idx="12" formatCode="0.0\ %">
                  <c:v>0.20956816257408975</c:v>
                </c:pt>
                <c:pt idx="14" formatCode="0.0\ %">
                  <c:v>0.20379377431906615</c:v>
                </c:pt>
                <c:pt idx="16" formatCode="0.0\ %">
                  <c:v>0.21166306695464362</c:v>
                </c:pt>
                <c:pt idx="18" formatCode="0.0\ %">
                  <c:v>0.28984771573604062</c:v>
                </c:pt>
                <c:pt idx="20" formatCode="0.0\ %">
                  <c:v>0.2968344577062792</c:v>
                </c:pt>
                <c:pt idx="22" formatCode="0.0\ %">
                  <c:v>0.30542778288868444</c:v>
                </c:pt>
                <c:pt idx="24" formatCode="0.0\ %">
                  <c:v>0.31169451073985682</c:v>
                </c:pt>
                <c:pt idx="26" formatCode="0.0\ %">
                  <c:v>0.30469483568075117</c:v>
                </c:pt>
                <c:pt idx="28" formatCode="0.0\ %">
                  <c:v>0.33134738771769018</c:v>
                </c:pt>
                <c:pt idx="30" formatCode="0.0\ %">
                  <c:v>0.35447437011294525</c:v>
                </c:pt>
                <c:pt idx="32" formatCode="0.0\ %">
                  <c:v>0.36414206247325631</c:v>
                </c:pt>
                <c:pt idx="34" formatCode="0.0\ %">
                  <c:v>0.37964942283026937</c:v>
                </c:pt>
              </c:numCache>
            </c:numRef>
          </c:val>
        </c:ser>
        <c:dLbls>
          <c:showLegendKey val="0"/>
          <c:showVal val="0"/>
          <c:showCatName val="0"/>
          <c:showSerName val="0"/>
          <c:showPercent val="0"/>
          <c:showBubbleSize val="0"/>
        </c:dLbls>
        <c:gapWidth val="0"/>
        <c:overlap val="-100"/>
        <c:axId val="424483256"/>
        <c:axId val="424484040"/>
      </c:barChart>
      <c:catAx>
        <c:axId val="42448325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24484040"/>
        <c:crosses val="autoZero"/>
        <c:auto val="1"/>
        <c:lblAlgn val="ctr"/>
        <c:lblOffset val="100"/>
        <c:noMultiLvlLbl val="0"/>
      </c:catAx>
      <c:valAx>
        <c:axId val="424484040"/>
        <c:scaling>
          <c:orientation val="minMax"/>
          <c:max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24483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Styre-sak.dot</Template>
  <TotalTime>0</TotalTime>
  <Pages>7</Pages>
  <Words>2602</Words>
  <Characters>13881</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Jentepoeng ved opptak til sivilingeniørstudiene</vt:lpstr>
    </vt:vector>
  </TitlesOfParts>
  <Company>NTNU</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Jentepoeng ved opptak til sivilingeniørstudiene</dc:title>
  <dc:subject>Kolegie notat</dc:subject>
  <dc:creator>Per-Arne Norevik</dc:creator>
  <cp:keywords/>
  <dc:description/>
  <cp:lastModifiedBy>Beate Knarbakk Reinertsen</cp:lastModifiedBy>
  <cp:revision>5</cp:revision>
  <cp:lastPrinted>2015-03-04T16:25:00Z</cp:lastPrinted>
  <dcterms:created xsi:type="dcterms:W3CDTF">2015-03-03T08:20:00Z</dcterms:created>
  <dcterms:modified xsi:type="dcterms:W3CDTF">2015-03-04T16:27:00Z</dcterms:modified>
</cp:coreProperties>
</file>