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CB09A4" w14:textId="214C4AAB" w:rsidR="00996C78" w:rsidRDefault="004E7864">
      <w:pPr>
        <w:pStyle w:val="Hode"/>
        <w:tabs>
          <w:tab w:val="right" w:pos="9809"/>
        </w:tabs>
        <w:spacing w:line="240" w:lineRule="exact"/>
        <w:rPr>
          <w:b/>
        </w:rPr>
      </w:pPr>
      <w:r>
        <w:rPr>
          <w:b/>
        </w:rPr>
        <w:t>NTNU</w:t>
      </w:r>
      <w:r>
        <w:rPr>
          <w:b/>
        </w:rPr>
        <w:tab/>
        <w:t>S</w:t>
      </w:r>
      <w:r w:rsidR="00996C78">
        <w:rPr>
          <w:b/>
        </w:rPr>
        <w:t>-sak</w:t>
      </w:r>
      <w:r w:rsidR="00AC18E6">
        <w:rPr>
          <w:b/>
        </w:rPr>
        <w:t xml:space="preserve"> 3/15</w:t>
      </w:r>
      <w:r w:rsidR="00996C78">
        <w:rPr>
          <w:b/>
        </w:rPr>
        <w:t xml:space="preserve"> </w:t>
      </w:r>
      <w:bookmarkStart w:id="0" w:name="Ksak"/>
      <w:bookmarkEnd w:id="0"/>
    </w:p>
    <w:p w14:paraId="693DBCE8" w14:textId="77777777" w:rsidR="00996C78" w:rsidRDefault="00996C78">
      <w:pPr>
        <w:pStyle w:val="Hode"/>
        <w:tabs>
          <w:tab w:val="right" w:pos="9809"/>
        </w:tabs>
        <w:spacing w:line="240" w:lineRule="exact"/>
        <w:rPr>
          <w:b/>
        </w:rPr>
      </w:pPr>
      <w:r>
        <w:rPr>
          <w:b/>
        </w:rPr>
        <w:t>Norges teknisk-naturvitenskapelige</w:t>
      </w:r>
    </w:p>
    <w:p w14:paraId="0084F271" w14:textId="77777777" w:rsidR="00996C78" w:rsidRDefault="00996C78">
      <w:pPr>
        <w:pStyle w:val="Hode"/>
        <w:tabs>
          <w:tab w:val="right" w:pos="9809"/>
        </w:tabs>
        <w:spacing w:line="240" w:lineRule="exact"/>
        <w:rPr>
          <w:b/>
        </w:rPr>
      </w:pPr>
      <w:r>
        <w:rPr>
          <w:b/>
        </w:rPr>
        <w:t>universitet</w:t>
      </w:r>
    </w:p>
    <w:p w14:paraId="0A670B66" w14:textId="4D9121FA" w:rsidR="0032785D" w:rsidRPr="0032785D" w:rsidRDefault="00AC18E6" w:rsidP="0032785D">
      <w:pPr>
        <w:tabs>
          <w:tab w:val="right" w:pos="9809"/>
        </w:tabs>
        <w:rPr>
          <w:sz w:val="22"/>
          <w:szCs w:val="22"/>
        </w:rPr>
      </w:pPr>
      <w:bookmarkStart w:id="1" w:name="Dato"/>
      <w:bookmarkStart w:id="2" w:name="Init"/>
      <w:bookmarkStart w:id="3" w:name="Kode"/>
      <w:bookmarkEnd w:id="1"/>
      <w:bookmarkEnd w:id="2"/>
      <w:bookmarkEnd w:id="3"/>
      <w:r>
        <w:rPr>
          <w:sz w:val="22"/>
          <w:szCs w:val="22"/>
        </w:rPr>
        <w:t>03.03</w:t>
      </w:r>
      <w:r w:rsidR="0032785D" w:rsidRPr="0032785D">
        <w:rPr>
          <w:sz w:val="22"/>
          <w:szCs w:val="22"/>
        </w:rPr>
        <w:t>.201</w:t>
      </w:r>
      <w:r w:rsidR="0032785D">
        <w:rPr>
          <w:sz w:val="22"/>
          <w:szCs w:val="22"/>
        </w:rPr>
        <w:t>5</w:t>
      </w:r>
      <w:r w:rsidR="0032785D" w:rsidRPr="0032785D">
        <w:rPr>
          <w:sz w:val="22"/>
          <w:szCs w:val="22"/>
        </w:rPr>
        <w:t xml:space="preserve"> </w:t>
      </w:r>
    </w:p>
    <w:p w14:paraId="2E2CEF78" w14:textId="53D158E6" w:rsidR="0032785D" w:rsidRPr="00AF4919" w:rsidRDefault="0032785D" w:rsidP="0032785D">
      <w:pPr>
        <w:pStyle w:val="Hode"/>
        <w:tabs>
          <w:tab w:val="right" w:pos="9809"/>
        </w:tabs>
        <w:spacing w:line="240" w:lineRule="exact"/>
        <w:rPr>
          <w:sz w:val="22"/>
          <w:szCs w:val="22"/>
        </w:rPr>
      </w:pPr>
      <w:r w:rsidRPr="00AF4919">
        <w:rPr>
          <w:sz w:val="22"/>
          <w:szCs w:val="22"/>
        </w:rPr>
        <w:t xml:space="preserve">Saksansvarlig:  </w:t>
      </w:r>
      <w:r w:rsidR="00AC18E6">
        <w:rPr>
          <w:sz w:val="22"/>
          <w:szCs w:val="22"/>
        </w:rPr>
        <w:t xml:space="preserve">  </w:t>
      </w:r>
      <w:r w:rsidRPr="00AF4919">
        <w:rPr>
          <w:sz w:val="22"/>
          <w:szCs w:val="22"/>
        </w:rPr>
        <w:t>Frank Arntsen</w:t>
      </w:r>
    </w:p>
    <w:p w14:paraId="0CEB96E7" w14:textId="564EE23C" w:rsidR="0032785D" w:rsidRPr="00AF4919" w:rsidRDefault="0032785D" w:rsidP="0032785D">
      <w:pPr>
        <w:pStyle w:val="Hode"/>
        <w:tabs>
          <w:tab w:val="right" w:pos="9809"/>
        </w:tabs>
        <w:spacing w:line="240" w:lineRule="exact"/>
        <w:rPr>
          <w:sz w:val="22"/>
          <w:szCs w:val="22"/>
        </w:rPr>
      </w:pPr>
      <w:r w:rsidRPr="00AF4919">
        <w:rPr>
          <w:sz w:val="22"/>
          <w:szCs w:val="22"/>
        </w:rPr>
        <w:t>Saksbehandler</w:t>
      </w:r>
      <w:r>
        <w:rPr>
          <w:sz w:val="22"/>
          <w:szCs w:val="22"/>
        </w:rPr>
        <w:t>e</w:t>
      </w:r>
      <w:r w:rsidRPr="00AF4919">
        <w:rPr>
          <w:sz w:val="22"/>
          <w:szCs w:val="22"/>
        </w:rPr>
        <w:t xml:space="preserve">: </w:t>
      </w:r>
      <w:r>
        <w:rPr>
          <w:sz w:val="22"/>
          <w:szCs w:val="22"/>
        </w:rPr>
        <w:t>Hanne Bergfjord og Trude W Bersvendsen</w:t>
      </w:r>
    </w:p>
    <w:p w14:paraId="77B22C13" w14:textId="6162125B" w:rsidR="00996C78" w:rsidRDefault="00996C78">
      <w:pPr>
        <w:pStyle w:val="Hode"/>
        <w:tabs>
          <w:tab w:val="right" w:pos="9809"/>
        </w:tabs>
      </w:pPr>
      <w:r>
        <w:tab/>
        <w:t xml:space="preserve"> </w:t>
      </w:r>
      <w:bookmarkStart w:id="4" w:name="para"/>
      <w:bookmarkEnd w:id="4"/>
    </w:p>
    <w:p w14:paraId="0951D838" w14:textId="77777777" w:rsidR="00996C78" w:rsidRDefault="00996C78">
      <w:pPr>
        <w:pStyle w:val="Hode"/>
        <w:tabs>
          <w:tab w:val="right" w:pos="9809"/>
        </w:tabs>
        <w:spacing w:line="240" w:lineRule="exact"/>
        <w:rPr>
          <w:b/>
        </w:rPr>
      </w:pPr>
    </w:p>
    <w:p w14:paraId="23E0893A" w14:textId="77777777" w:rsidR="00996C78" w:rsidRDefault="00996C78">
      <w:pPr>
        <w:pStyle w:val="Hode"/>
        <w:tabs>
          <w:tab w:val="right" w:pos="9809"/>
        </w:tabs>
        <w:spacing w:line="240" w:lineRule="exact"/>
      </w:pPr>
    </w:p>
    <w:p w14:paraId="77FD4857" w14:textId="77777777" w:rsidR="00996C78" w:rsidRDefault="00996C78">
      <w:pPr>
        <w:pStyle w:val="Hode"/>
        <w:tabs>
          <w:tab w:val="right" w:pos="9809"/>
        </w:tabs>
        <w:spacing w:line="240" w:lineRule="exact"/>
      </w:pPr>
    </w:p>
    <w:p w14:paraId="4ACD1C61" w14:textId="77777777" w:rsidR="00996C78" w:rsidRDefault="00996C78">
      <w:pPr>
        <w:pStyle w:val="Hode"/>
        <w:tabs>
          <w:tab w:val="right" w:pos="9809"/>
        </w:tabs>
        <w:spacing w:line="240" w:lineRule="exact"/>
      </w:pPr>
    </w:p>
    <w:p w14:paraId="39C688EF" w14:textId="77777777" w:rsidR="00996C78" w:rsidRDefault="00996C78">
      <w:pPr>
        <w:tabs>
          <w:tab w:val="right" w:pos="9809"/>
        </w:tabs>
        <w:jc w:val="center"/>
        <w:rPr>
          <w:b/>
          <w:sz w:val="26"/>
        </w:rPr>
      </w:pPr>
      <w:r>
        <w:rPr>
          <w:b/>
          <w:sz w:val="26"/>
        </w:rPr>
        <w:t>N O T A T</w:t>
      </w:r>
    </w:p>
    <w:p w14:paraId="10800E8C" w14:textId="77777777" w:rsidR="00996C78" w:rsidRDefault="00996C78">
      <w:pPr>
        <w:tabs>
          <w:tab w:val="right" w:pos="9809"/>
        </w:tabs>
        <w:rPr>
          <w:b/>
        </w:rPr>
      </w:pPr>
    </w:p>
    <w:p w14:paraId="1BBABC8C" w14:textId="77777777" w:rsidR="00996C78" w:rsidRDefault="00996C78">
      <w:pPr>
        <w:tabs>
          <w:tab w:val="left" w:pos="567"/>
          <w:tab w:val="right" w:pos="9809"/>
        </w:tabs>
      </w:pPr>
      <w:r>
        <w:t>Til:</w:t>
      </w:r>
      <w:r>
        <w:tab/>
      </w:r>
      <w:r w:rsidR="004E7864">
        <w:t>Styret</w:t>
      </w:r>
    </w:p>
    <w:p w14:paraId="65DFF65D" w14:textId="77777777" w:rsidR="00996C78" w:rsidRDefault="00996C78">
      <w:pPr>
        <w:tabs>
          <w:tab w:val="left" w:pos="567"/>
          <w:tab w:val="right" w:pos="9809"/>
        </w:tabs>
      </w:pPr>
      <w:r>
        <w:t>Fra:</w:t>
      </w:r>
      <w:r>
        <w:tab/>
      </w:r>
      <w:r w:rsidR="00FC4EEF">
        <w:t>Rektor</w:t>
      </w:r>
    </w:p>
    <w:p w14:paraId="5BFB2DC4" w14:textId="221171EE" w:rsidR="00996C78" w:rsidRDefault="00996C78">
      <w:pPr>
        <w:tabs>
          <w:tab w:val="left" w:pos="567"/>
          <w:tab w:val="right" w:pos="9809"/>
        </w:tabs>
        <w:ind w:left="567" w:hanging="567"/>
        <w:rPr>
          <w:b/>
        </w:rPr>
      </w:pPr>
      <w:r>
        <w:rPr>
          <w:b/>
        </w:rPr>
        <w:t>Om:</w:t>
      </w:r>
      <w:r>
        <w:rPr>
          <w:b/>
        </w:rPr>
        <w:tab/>
      </w:r>
      <w:bookmarkStart w:id="5" w:name="Om"/>
      <w:bookmarkEnd w:id="5"/>
      <w:r w:rsidR="006C011C">
        <w:rPr>
          <w:b/>
        </w:rPr>
        <w:t>Årsregnskapet 2014</w:t>
      </w:r>
      <w:r w:rsidR="00C17049">
        <w:rPr>
          <w:b/>
        </w:rPr>
        <w:t xml:space="preserve"> </w:t>
      </w:r>
      <w:r w:rsidR="006C011C">
        <w:rPr>
          <w:b/>
        </w:rPr>
        <w:t>og budsjettkonsekvenser for 2015</w:t>
      </w:r>
      <w:r w:rsidR="00C17049">
        <w:rPr>
          <w:b/>
        </w:rPr>
        <w:t xml:space="preserve"> og langtidsperioden</w:t>
      </w:r>
      <w:r w:rsidR="007B2476">
        <w:rPr>
          <w:b/>
        </w:rPr>
        <w:t xml:space="preserve"> 2015-2018</w:t>
      </w:r>
    </w:p>
    <w:p w14:paraId="4E17AC31" w14:textId="77777777" w:rsidR="00996C78" w:rsidRDefault="00996C78">
      <w:pPr>
        <w:tabs>
          <w:tab w:val="left" w:pos="567"/>
          <w:tab w:val="right" w:pos="9809"/>
        </w:tabs>
      </w:pPr>
    </w:p>
    <w:p w14:paraId="7D35B488" w14:textId="77777777" w:rsidR="00996C78" w:rsidRDefault="00996C78">
      <w:pPr>
        <w:pBdr>
          <w:top w:val="single" w:sz="6" w:space="1" w:color="auto"/>
        </w:pBdr>
      </w:pPr>
    </w:p>
    <w:p w14:paraId="105BB25B" w14:textId="77777777" w:rsidR="00996C78" w:rsidRDefault="00996C78">
      <w:bookmarkStart w:id="6" w:name="Start"/>
      <w:bookmarkEnd w:id="6"/>
    </w:p>
    <w:p w14:paraId="28D604BB" w14:textId="77777777" w:rsidR="005F01DC" w:rsidRPr="00CC16D7" w:rsidRDefault="005F01DC" w:rsidP="005F01DC">
      <w:pPr>
        <w:rPr>
          <w:b/>
          <w:u w:val="single"/>
        </w:rPr>
      </w:pPr>
      <w:r w:rsidRPr="00CC16D7">
        <w:rPr>
          <w:b/>
          <w:u w:val="single"/>
        </w:rPr>
        <w:t>Tilråding:</w:t>
      </w:r>
    </w:p>
    <w:p w14:paraId="35805233" w14:textId="77777777" w:rsidR="000341CD" w:rsidRDefault="000341CD" w:rsidP="005F01DC"/>
    <w:p w14:paraId="16DE4752" w14:textId="77777777" w:rsidR="00CC16D7" w:rsidRPr="006C011C" w:rsidRDefault="000341CD" w:rsidP="005F01DC">
      <w:r w:rsidRPr="006C011C">
        <w:t>Styret vedtar det fremlagte regnskapet m</w:t>
      </w:r>
      <w:r w:rsidR="003B69B1" w:rsidRPr="006C011C">
        <w:t>ed tilhørende lederkommentarer.</w:t>
      </w:r>
      <w:r w:rsidR="003B69B1" w:rsidRPr="006C011C">
        <w:br/>
      </w:r>
    </w:p>
    <w:p w14:paraId="6862D1A1" w14:textId="6270F26F" w:rsidR="005F01DC" w:rsidRDefault="006C011C" w:rsidP="005F01DC">
      <w:r>
        <w:t xml:space="preserve">Styret </w:t>
      </w:r>
      <w:r w:rsidR="007B2476">
        <w:t>støtter Rektors</w:t>
      </w:r>
      <w:r>
        <w:t xml:space="preserve"> </w:t>
      </w:r>
      <w:r w:rsidR="00957C26">
        <w:t>vurdering</w:t>
      </w:r>
      <w:r w:rsidR="007B2476">
        <w:t>er</w:t>
      </w:r>
      <w:r w:rsidR="00957C26">
        <w:t xml:space="preserve"> omkring </w:t>
      </w:r>
      <w:r>
        <w:t>budsjett 2015 og langtidsbudsjett 2015-2018</w:t>
      </w:r>
      <w:r w:rsidR="007B2476">
        <w:t>.</w:t>
      </w:r>
    </w:p>
    <w:p w14:paraId="3210FA36" w14:textId="77777777" w:rsidR="00F94AB8" w:rsidRPr="006C011C" w:rsidRDefault="00F94AB8" w:rsidP="005F01DC"/>
    <w:p w14:paraId="505BB299" w14:textId="77777777" w:rsidR="00F257A3" w:rsidRPr="006C011C" w:rsidRDefault="00F257A3" w:rsidP="006C011C">
      <w:pPr>
        <w:pBdr>
          <w:bottom w:val="single" w:sz="4" w:space="1" w:color="auto"/>
        </w:pBdr>
        <w:rPr>
          <w:color w:val="FF0000"/>
        </w:rPr>
      </w:pPr>
    </w:p>
    <w:p w14:paraId="68DF6E46" w14:textId="77777777" w:rsidR="005F01DC" w:rsidRPr="006C011C" w:rsidRDefault="005F01DC" w:rsidP="005F01DC">
      <w:pPr>
        <w:rPr>
          <w:color w:val="FF0000"/>
        </w:rPr>
      </w:pPr>
    </w:p>
    <w:p w14:paraId="5E965356" w14:textId="77777777" w:rsidR="005F01DC" w:rsidRPr="006C011C" w:rsidRDefault="005F01DC" w:rsidP="005F01DC">
      <w:pPr>
        <w:rPr>
          <w:b/>
          <w:i/>
        </w:rPr>
      </w:pPr>
      <w:r w:rsidRPr="006C011C">
        <w:rPr>
          <w:b/>
          <w:i/>
        </w:rPr>
        <w:t>Formål</w:t>
      </w:r>
    </w:p>
    <w:p w14:paraId="4807F743" w14:textId="77777777" w:rsidR="00CC16D7" w:rsidRPr="006C011C" w:rsidRDefault="005F01DC" w:rsidP="005F01DC">
      <w:r w:rsidRPr="006C011C">
        <w:t xml:space="preserve">Styret skal i forbindelse med </w:t>
      </w:r>
      <w:r w:rsidR="00CC16D7" w:rsidRPr="006C011C">
        <w:t>års</w:t>
      </w:r>
      <w:r w:rsidRPr="006C011C">
        <w:t>rapportering</w:t>
      </w:r>
      <w:r w:rsidR="00CC16D7" w:rsidRPr="006C011C">
        <w:t>en</w:t>
      </w:r>
      <w:r w:rsidRPr="006C011C">
        <w:t xml:space="preserve"> til Kunnskapsdepartementet godkjenne institusjonens regnskap med tilhørende lederkommentarer. </w:t>
      </w:r>
      <w:r w:rsidR="000363C4" w:rsidRPr="006C011C">
        <w:t>I tillegg vil styret få en gjennomgang av</w:t>
      </w:r>
      <w:r w:rsidR="00CC16D7" w:rsidRPr="006C011C">
        <w:t xml:space="preserve"> </w:t>
      </w:r>
      <w:r w:rsidR="000363C4" w:rsidRPr="006C011C">
        <w:t>hvordan</w:t>
      </w:r>
      <w:r w:rsidR="00CC16D7" w:rsidRPr="006C011C">
        <w:t xml:space="preserve"> </w:t>
      </w:r>
      <w:r w:rsidRPr="006C011C">
        <w:t>budsjett</w:t>
      </w:r>
      <w:r w:rsidR="00CC16D7" w:rsidRPr="006C011C">
        <w:t>et for 201</w:t>
      </w:r>
      <w:r w:rsidR="006C011C">
        <w:t>4</w:t>
      </w:r>
      <w:r w:rsidR="000363C4" w:rsidRPr="006C011C">
        <w:t xml:space="preserve"> er gjennomført</w:t>
      </w:r>
      <w:r w:rsidR="00CC16D7" w:rsidRPr="006C011C">
        <w:t>, samt</w:t>
      </w:r>
      <w:r w:rsidR="006C011C">
        <w:t xml:space="preserve"> en orientering om budsjett 2015 og langtidsbudsjett 2015-2018</w:t>
      </w:r>
      <w:r w:rsidR="00CC16D7" w:rsidRPr="006C011C">
        <w:t>.</w:t>
      </w:r>
    </w:p>
    <w:p w14:paraId="74A5AA31" w14:textId="77777777" w:rsidR="00CC16D7" w:rsidRPr="006C011C" w:rsidRDefault="00CC16D7" w:rsidP="005F01DC">
      <w:pPr>
        <w:rPr>
          <w:color w:val="FF0000"/>
        </w:rPr>
      </w:pPr>
    </w:p>
    <w:p w14:paraId="127F0660" w14:textId="77777777" w:rsidR="00CC16D7" w:rsidRPr="006C011C" w:rsidRDefault="00CC16D7" w:rsidP="005F01DC">
      <w:pPr>
        <w:rPr>
          <w:b/>
          <w:i/>
          <w:color w:val="FF0000"/>
        </w:rPr>
      </w:pPr>
    </w:p>
    <w:p w14:paraId="2E244BFF" w14:textId="77777777" w:rsidR="005F01DC" w:rsidRPr="00846E68" w:rsidRDefault="00CF1A4E" w:rsidP="005F01DC">
      <w:pPr>
        <w:rPr>
          <w:b/>
          <w:i/>
        </w:rPr>
      </w:pPr>
      <w:r w:rsidRPr="00846E68">
        <w:rPr>
          <w:b/>
          <w:i/>
        </w:rPr>
        <w:t>Oppsummering av kapitlene</w:t>
      </w:r>
      <w:r w:rsidR="005F01DC" w:rsidRPr="00846E68">
        <w:rPr>
          <w:b/>
          <w:i/>
        </w:rPr>
        <w:t xml:space="preserve"> i saken:</w:t>
      </w:r>
    </w:p>
    <w:p w14:paraId="4184352D" w14:textId="77777777" w:rsidR="005F01DC" w:rsidRPr="006C011C" w:rsidRDefault="005F01DC" w:rsidP="005F01DC">
      <w:pPr>
        <w:rPr>
          <w:i/>
          <w:color w:val="FF0000"/>
        </w:rPr>
      </w:pPr>
    </w:p>
    <w:p w14:paraId="07F8DA64" w14:textId="77777777" w:rsidR="00846E68" w:rsidRDefault="00846E68" w:rsidP="00EE386F">
      <w:pPr>
        <w:rPr>
          <w:color w:val="FF0000"/>
        </w:rPr>
      </w:pPr>
    </w:p>
    <w:p w14:paraId="70DED60A" w14:textId="77777777" w:rsidR="00846E68" w:rsidRPr="00F615E1" w:rsidRDefault="00846E68" w:rsidP="00846E68">
      <w:pPr>
        <w:rPr>
          <w:i/>
        </w:rPr>
      </w:pPr>
      <w:r w:rsidRPr="00F615E1">
        <w:rPr>
          <w:i/>
        </w:rPr>
        <w:t>1. Økonomisk situasjon – 201</w:t>
      </w:r>
      <w:r>
        <w:rPr>
          <w:i/>
        </w:rPr>
        <w:t>4</w:t>
      </w:r>
      <w:r w:rsidRPr="00F615E1">
        <w:rPr>
          <w:i/>
        </w:rPr>
        <w:t>- bevilgningsfinansiert aktivitet</w:t>
      </w:r>
    </w:p>
    <w:p w14:paraId="2FC621D0" w14:textId="77777777" w:rsidR="00846E68" w:rsidRPr="000C6547" w:rsidRDefault="00846E68" w:rsidP="00846E68">
      <w:pPr>
        <w:rPr>
          <w:color w:val="FF0000"/>
        </w:rPr>
      </w:pPr>
    </w:p>
    <w:p w14:paraId="5F0BFCDB" w14:textId="3B456C04" w:rsidR="00846E68" w:rsidRDefault="001C703B" w:rsidP="00846E68">
      <w:r>
        <w:t>I</w:t>
      </w:r>
      <w:r w:rsidR="00846E68" w:rsidRPr="00CA19B1">
        <w:t xml:space="preserve"> 2014 </w:t>
      </w:r>
      <w:r>
        <w:t xml:space="preserve">ble det utarbeidet et </w:t>
      </w:r>
      <w:r w:rsidR="00846E68" w:rsidRPr="00CA19B1">
        <w:t>bu</w:t>
      </w:r>
      <w:r w:rsidR="00846E68">
        <w:t>dsjett i balanse, uten ytterligere nedbygging av avsetningsnivået</w:t>
      </w:r>
      <w:r w:rsidR="004A2DE0">
        <w:t xml:space="preserve">. </w:t>
      </w:r>
      <w:r w:rsidR="00123BED">
        <w:t>Ved utgangen av 2013</w:t>
      </w:r>
      <w:r w:rsidR="00123BED" w:rsidRPr="00CA19B1">
        <w:t xml:space="preserve"> hadde NTNU ubrukte bevilginger som tilsvarte drøyt 5% av bevilgning fra KD. </w:t>
      </w:r>
      <w:r w:rsidR="00846E68" w:rsidRPr="00CA19B1">
        <w:t>Organisasjonen har levert et årsresultat som er 11</w:t>
      </w:r>
      <w:r w:rsidR="00861480">
        <w:t>3</w:t>
      </w:r>
      <w:r w:rsidR="00846E68">
        <w:t xml:space="preserve"> mill.kr bedre enn budsjettert, og som innebærer en oppbygging av ubrukte bevilgninger på 11</w:t>
      </w:r>
      <w:r w:rsidR="00861480">
        <w:t>5</w:t>
      </w:r>
      <w:r w:rsidR="00846E68">
        <w:t xml:space="preserve"> mill.kr. </w:t>
      </w:r>
      <w:r w:rsidR="0005569D">
        <w:t>V</w:t>
      </w:r>
      <w:r w:rsidR="00846E68" w:rsidRPr="00CA19B1">
        <w:t xml:space="preserve">ed inngangen til 2015 </w:t>
      </w:r>
      <w:r w:rsidR="0005569D">
        <w:t xml:space="preserve">er nivået på ubrukte bevilgninger </w:t>
      </w:r>
      <w:r w:rsidR="00846E68" w:rsidRPr="00CA19B1">
        <w:t>32</w:t>
      </w:r>
      <w:r w:rsidR="00861480">
        <w:t>1</w:t>
      </w:r>
      <w:r w:rsidR="00846E68" w:rsidRPr="00CA19B1">
        <w:t xml:space="preserve"> mill. kr, noe som utgjør 8 % av inntekten fra KD</w:t>
      </w:r>
      <w:r w:rsidR="00846E68">
        <w:t xml:space="preserve">, og </w:t>
      </w:r>
      <w:r w:rsidR="00A46501">
        <w:t xml:space="preserve">er </w:t>
      </w:r>
      <w:r w:rsidR="00846E68">
        <w:t>innenfor</w:t>
      </w:r>
      <w:r w:rsidR="00957C26">
        <w:t xml:space="preserve"> </w:t>
      </w:r>
      <w:r w:rsidR="00846E68">
        <w:t>spennet på 5-10%</w:t>
      </w:r>
      <w:r w:rsidR="00957C26">
        <w:t xml:space="preserve"> som anses som akseptabelt</w:t>
      </w:r>
      <w:r w:rsidR="00846E68">
        <w:t xml:space="preserve">. </w:t>
      </w:r>
    </w:p>
    <w:p w14:paraId="61823B59" w14:textId="77777777" w:rsidR="001E2591" w:rsidRDefault="001E2591" w:rsidP="00846E68"/>
    <w:p w14:paraId="2D1D3921" w14:textId="77777777" w:rsidR="001E2591" w:rsidRDefault="001E2591" w:rsidP="00846E68"/>
    <w:p w14:paraId="1825B536" w14:textId="77777777" w:rsidR="001E2591" w:rsidRPr="00BC61A2" w:rsidRDefault="001E2591" w:rsidP="001E2591">
      <w:pPr>
        <w:rPr>
          <w:i/>
        </w:rPr>
      </w:pPr>
      <w:r w:rsidRPr="00BC61A2">
        <w:rPr>
          <w:i/>
        </w:rPr>
        <w:t>2. Budsjett 2015 og langtidsbudsjett 2015-2018 – bevilgningsfinansiert aktivitet</w:t>
      </w:r>
    </w:p>
    <w:p w14:paraId="79A59921" w14:textId="77777777" w:rsidR="001E2591" w:rsidRPr="00BC61A2" w:rsidRDefault="001E2591" w:rsidP="001E2591"/>
    <w:p w14:paraId="60F06FE3" w14:textId="1ADC992F" w:rsidR="001E2591" w:rsidRPr="00BC61A2" w:rsidRDefault="001E2591" w:rsidP="001E2591">
      <w:r w:rsidRPr="00BC61A2">
        <w:t xml:space="preserve">For 2015 er det planlagt et </w:t>
      </w:r>
      <w:r w:rsidR="00123BED">
        <w:t>kostnadsnivå som er større enn forventet inntekt</w:t>
      </w:r>
      <w:r w:rsidR="0065500D">
        <w:t>. Bakgrunnen for dette</w:t>
      </w:r>
      <w:r w:rsidR="00123BED">
        <w:t xml:space="preserve"> </w:t>
      </w:r>
      <w:r w:rsidR="0065500D">
        <w:t>er</w:t>
      </w:r>
      <w:r w:rsidR="00123BED">
        <w:t xml:space="preserve"> at man ønsker å </w:t>
      </w:r>
      <w:r w:rsidRPr="00BC61A2">
        <w:t xml:space="preserve">ta igjen </w:t>
      </w:r>
      <w:r w:rsidR="00C96B5D">
        <w:t xml:space="preserve">noe </w:t>
      </w:r>
      <w:r w:rsidRPr="00BC61A2">
        <w:t xml:space="preserve">forsinket aktivitet </w:t>
      </w:r>
      <w:r>
        <w:t xml:space="preserve">fra 2014 </w:t>
      </w:r>
      <w:r w:rsidRPr="00BC61A2">
        <w:t xml:space="preserve">samt gjennomføre </w:t>
      </w:r>
      <w:r>
        <w:t>store</w:t>
      </w:r>
      <w:r w:rsidRPr="00BC61A2">
        <w:t xml:space="preserve"> byggeprosjekter</w:t>
      </w:r>
      <w:r>
        <w:t xml:space="preserve"> som ESFRI/ECCEL og Kjemiblokk 3</w:t>
      </w:r>
      <w:r w:rsidRPr="00BC61A2">
        <w:t>. I langtidsbudsjettet er det planlagt et merforbruk</w:t>
      </w:r>
      <w:r w:rsidR="00123BED">
        <w:t xml:space="preserve"> (negativt resultat)</w:t>
      </w:r>
      <w:r w:rsidR="00C96B5D">
        <w:t xml:space="preserve"> i 2015 og 2016, og et mindreforbruk (positivt resultat) i </w:t>
      </w:r>
      <w:r w:rsidRPr="00BC61A2">
        <w:t>2017 og 2018</w:t>
      </w:r>
      <w:r w:rsidR="00444998">
        <w:t xml:space="preserve">. </w:t>
      </w:r>
      <w:r>
        <w:t>Det planlegges med</w:t>
      </w:r>
      <w:r w:rsidRPr="00BC61A2">
        <w:t xml:space="preserve"> et budsjett </w:t>
      </w:r>
      <w:r w:rsidRPr="00BC61A2">
        <w:lastRenderedPageBreak/>
        <w:t>i balanse i langtidsperioden og et nivå på ubrukte bevilgninger</w:t>
      </w:r>
      <w:r w:rsidR="00123BED">
        <w:t xml:space="preserve"> mellom </w:t>
      </w:r>
      <w:r w:rsidR="0065500D">
        <w:t xml:space="preserve">på </w:t>
      </w:r>
      <w:r w:rsidR="00123BED">
        <w:t>5 og 10 % av bevilgning i hele perioden.</w:t>
      </w:r>
    </w:p>
    <w:p w14:paraId="55256F25" w14:textId="77777777" w:rsidR="001E2591" w:rsidRPr="00CA19B1" w:rsidRDefault="001E2591" w:rsidP="00846E68"/>
    <w:p w14:paraId="69F044A8" w14:textId="77777777" w:rsidR="005F01DC" w:rsidRPr="006C011C" w:rsidRDefault="005F01DC" w:rsidP="005F01DC">
      <w:pPr>
        <w:rPr>
          <w:color w:val="FF0000"/>
        </w:rPr>
      </w:pPr>
    </w:p>
    <w:p w14:paraId="4186DED6" w14:textId="77777777" w:rsidR="00021BFD" w:rsidRPr="006C011C" w:rsidRDefault="00021BFD" w:rsidP="005F01DC">
      <w:pPr>
        <w:rPr>
          <w:color w:val="FF0000"/>
        </w:rPr>
      </w:pPr>
    </w:p>
    <w:p w14:paraId="1DE01271" w14:textId="77777777" w:rsidR="005F01DC" w:rsidRPr="00846E68" w:rsidRDefault="00021BFD" w:rsidP="005F01DC">
      <w:pPr>
        <w:rPr>
          <w:i/>
        </w:rPr>
      </w:pPr>
      <w:r w:rsidRPr="00846E68">
        <w:rPr>
          <w:i/>
        </w:rPr>
        <w:t>3</w:t>
      </w:r>
      <w:r w:rsidR="005F01DC" w:rsidRPr="00846E68">
        <w:rPr>
          <w:i/>
        </w:rPr>
        <w:t xml:space="preserve">. </w:t>
      </w:r>
      <w:r w:rsidR="00430FEC" w:rsidRPr="00846E68">
        <w:rPr>
          <w:i/>
        </w:rPr>
        <w:t>Bidrags- og oppdragsaktiviteten (BOA)</w:t>
      </w:r>
      <w:r w:rsidR="00846E68" w:rsidRPr="00846E68">
        <w:rPr>
          <w:i/>
        </w:rPr>
        <w:t xml:space="preserve"> i 2014</w:t>
      </w:r>
    </w:p>
    <w:p w14:paraId="38304507" w14:textId="77777777" w:rsidR="00F257A3" w:rsidRPr="006C011C" w:rsidRDefault="00F257A3" w:rsidP="005F01DC">
      <w:pPr>
        <w:rPr>
          <w:i/>
          <w:color w:val="FF0000"/>
        </w:rPr>
      </w:pPr>
    </w:p>
    <w:p w14:paraId="2ED4FE6D" w14:textId="77777777" w:rsidR="00846E68" w:rsidRPr="00981514" w:rsidRDefault="00846E68" w:rsidP="00846E68">
      <w:pPr>
        <w:rPr>
          <w:rFonts w:eastAsia="Calibri"/>
          <w:lang w:eastAsia="en-US"/>
        </w:rPr>
      </w:pPr>
      <w:r w:rsidRPr="00981514">
        <w:rPr>
          <w:rFonts w:eastAsia="Calibri"/>
          <w:lang w:eastAsia="en-US"/>
        </w:rPr>
        <w:t xml:space="preserve">Bidrags- og oppdragsaktivitet endte i 2014 på 1 520 mill. kr, en nominell vekst på 2,5 % fra 2013. Dette resultatet var i nedre sjikt av det som var som forventet ut fra fakultetenes prognoser etter andre tertial. </w:t>
      </w:r>
    </w:p>
    <w:p w14:paraId="3C31701E" w14:textId="77777777" w:rsidR="00846E68" w:rsidRPr="009F1409" w:rsidRDefault="00846E68" w:rsidP="00846E68">
      <w:pPr>
        <w:rPr>
          <w:rFonts w:eastAsia="Calibri"/>
          <w:lang w:eastAsia="en-US"/>
        </w:rPr>
      </w:pPr>
    </w:p>
    <w:p w14:paraId="4FA7048A" w14:textId="303E3184" w:rsidR="00846E68" w:rsidRPr="009F1409" w:rsidRDefault="00846E68" w:rsidP="00846E68">
      <w:r w:rsidRPr="009F1409">
        <w:rPr>
          <w:rFonts w:eastAsia="Calibri"/>
          <w:lang w:eastAsia="en-US"/>
        </w:rPr>
        <w:t xml:space="preserve">BOA-aktiviteten ved NTNU har de siste årene hatt </w:t>
      </w:r>
      <w:r w:rsidR="00420C56" w:rsidRPr="009F1409">
        <w:rPr>
          <w:rFonts w:eastAsia="Calibri"/>
          <w:lang w:eastAsia="en-US"/>
        </w:rPr>
        <w:t>e</w:t>
      </w:r>
      <w:r w:rsidR="00420C56">
        <w:rPr>
          <w:rFonts w:eastAsia="Calibri"/>
          <w:lang w:eastAsia="en-US"/>
        </w:rPr>
        <w:t>t</w:t>
      </w:r>
      <w:r w:rsidR="00420C56" w:rsidRPr="009F1409">
        <w:rPr>
          <w:rFonts w:eastAsia="Calibri"/>
          <w:lang w:eastAsia="en-US"/>
        </w:rPr>
        <w:t xml:space="preserve"> </w:t>
      </w:r>
      <w:r w:rsidRPr="009F1409">
        <w:rPr>
          <w:rFonts w:eastAsia="Calibri"/>
          <w:lang w:eastAsia="en-US"/>
        </w:rPr>
        <w:t>stabil</w:t>
      </w:r>
      <w:r w:rsidR="00420C56">
        <w:rPr>
          <w:rFonts w:eastAsia="Calibri"/>
          <w:lang w:eastAsia="en-US"/>
        </w:rPr>
        <w:t>t</w:t>
      </w:r>
      <w:r w:rsidRPr="009F1409">
        <w:rPr>
          <w:rFonts w:eastAsia="Calibri"/>
          <w:lang w:eastAsia="en-US"/>
        </w:rPr>
        <w:t xml:space="preserve"> </w:t>
      </w:r>
      <w:r w:rsidR="00420C56">
        <w:rPr>
          <w:rFonts w:eastAsia="Calibri"/>
          <w:lang w:eastAsia="en-US"/>
        </w:rPr>
        <w:t>nivå</w:t>
      </w:r>
      <w:r w:rsidRPr="009F1409">
        <w:rPr>
          <w:rFonts w:eastAsia="Calibri"/>
          <w:lang w:eastAsia="en-US"/>
        </w:rPr>
        <w:t xml:space="preserve">, med en årlig omsetningsvekst tilnærmet lik pris- og lønnsveksten. </w:t>
      </w:r>
    </w:p>
    <w:p w14:paraId="55661393" w14:textId="77777777" w:rsidR="00430FEC" w:rsidRPr="006C011C" w:rsidRDefault="00430FEC" w:rsidP="005F01DC">
      <w:pPr>
        <w:rPr>
          <w:color w:val="FF0000"/>
        </w:rPr>
      </w:pPr>
    </w:p>
    <w:p w14:paraId="4809C864" w14:textId="77777777" w:rsidR="00FA4731" w:rsidRPr="006C011C" w:rsidRDefault="00FA4731" w:rsidP="005F01DC">
      <w:pPr>
        <w:rPr>
          <w:color w:val="FF0000"/>
        </w:rPr>
      </w:pPr>
    </w:p>
    <w:p w14:paraId="3A5983F0" w14:textId="77777777" w:rsidR="005F01DC" w:rsidRPr="00CB07B1" w:rsidRDefault="00021BFD" w:rsidP="005F01DC">
      <w:pPr>
        <w:rPr>
          <w:i/>
        </w:rPr>
      </w:pPr>
      <w:r w:rsidRPr="00CB07B1">
        <w:rPr>
          <w:i/>
        </w:rPr>
        <w:t>4</w:t>
      </w:r>
      <w:r w:rsidR="00541087" w:rsidRPr="00CB07B1">
        <w:rPr>
          <w:i/>
        </w:rPr>
        <w:t>. Resultat- og balanseregnskapet – NTNUs totalregnskap</w:t>
      </w:r>
    </w:p>
    <w:p w14:paraId="17275F56" w14:textId="77777777" w:rsidR="00F257A3" w:rsidRPr="00CB07B1" w:rsidRDefault="00F257A3" w:rsidP="005F01DC"/>
    <w:p w14:paraId="5C813537" w14:textId="77777777" w:rsidR="00703C7F" w:rsidRPr="00CB07B1" w:rsidRDefault="005F01DC" w:rsidP="00846E68">
      <w:pPr>
        <w:rPr>
          <w:rFonts w:eastAsia="Calibri"/>
          <w:lang w:eastAsia="en-US"/>
        </w:rPr>
      </w:pPr>
      <w:r w:rsidRPr="00CB07B1">
        <w:rPr>
          <w:rFonts w:eastAsia="Calibri"/>
          <w:lang w:eastAsia="en-US"/>
        </w:rPr>
        <w:t>Regnskapet er avlagt i tråd med de statlige regnskapsstandardene og er utarbeidet i henhold til gjeldende krav om oppstilling og presentasjon. Regnskapet gir etter Rektors mening et riktig bilde av resultatene i 201</w:t>
      </w:r>
      <w:r w:rsidR="00CB07B1" w:rsidRPr="00CB07B1">
        <w:rPr>
          <w:rFonts w:eastAsia="Calibri"/>
          <w:lang w:eastAsia="en-US"/>
        </w:rPr>
        <w:t>4</w:t>
      </w:r>
      <w:r w:rsidRPr="00CB07B1">
        <w:rPr>
          <w:rFonts w:eastAsia="Calibri"/>
          <w:lang w:eastAsia="en-US"/>
        </w:rPr>
        <w:t xml:space="preserve"> og den </w:t>
      </w:r>
      <w:r w:rsidR="00C80516" w:rsidRPr="00CB07B1">
        <w:rPr>
          <w:rFonts w:eastAsia="Calibri"/>
          <w:lang w:eastAsia="en-US"/>
        </w:rPr>
        <w:t>økonomiske situasjonen per 31.12</w:t>
      </w:r>
      <w:r w:rsidRPr="00CB07B1">
        <w:rPr>
          <w:rFonts w:eastAsia="Calibri"/>
          <w:lang w:eastAsia="en-US"/>
        </w:rPr>
        <w:t>.201</w:t>
      </w:r>
      <w:r w:rsidR="00CB07B1" w:rsidRPr="00CB07B1">
        <w:rPr>
          <w:rFonts w:eastAsia="Calibri"/>
          <w:lang w:eastAsia="en-US"/>
        </w:rPr>
        <w:t>4</w:t>
      </w:r>
      <w:r w:rsidRPr="00CB07B1">
        <w:rPr>
          <w:rFonts w:eastAsia="Calibri"/>
          <w:lang w:eastAsia="en-US"/>
        </w:rPr>
        <w:t>.</w:t>
      </w:r>
    </w:p>
    <w:p w14:paraId="63E36A0D" w14:textId="77777777" w:rsidR="006D3FCE" w:rsidRPr="006C011C" w:rsidRDefault="006D3FCE">
      <w:pPr>
        <w:rPr>
          <w:b/>
          <w:color w:val="FF0000"/>
          <w:sz w:val="28"/>
          <w:szCs w:val="28"/>
        </w:rPr>
      </w:pPr>
    </w:p>
    <w:p w14:paraId="26686438" w14:textId="77777777" w:rsidR="00800626" w:rsidRDefault="00800626">
      <w:pPr>
        <w:rPr>
          <w:b/>
          <w:kern w:val="28"/>
          <w:sz w:val="28"/>
          <w:szCs w:val="28"/>
        </w:rPr>
      </w:pPr>
      <w:r>
        <w:rPr>
          <w:sz w:val="28"/>
          <w:szCs w:val="28"/>
        </w:rPr>
        <w:br w:type="page"/>
      </w:r>
    </w:p>
    <w:p w14:paraId="0DD9769D" w14:textId="77777777" w:rsidR="00846E68" w:rsidRPr="001B7F4C" w:rsidRDefault="00846E68" w:rsidP="00846E68">
      <w:pPr>
        <w:pStyle w:val="Overskrift1"/>
        <w:numPr>
          <w:ilvl w:val="0"/>
          <w:numId w:val="1"/>
        </w:numPr>
        <w:rPr>
          <w:sz w:val="28"/>
          <w:szCs w:val="28"/>
          <w:u w:val="none"/>
        </w:rPr>
      </w:pPr>
      <w:r>
        <w:rPr>
          <w:sz w:val="28"/>
          <w:szCs w:val="28"/>
          <w:u w:val="none"/>
        </w:rPr>
        <w:t>Økonomisk situasjon –</w:t>
      </w:r>
      <w:r w:rsidRPr="001B7F4C">
        <w:rPr>
          <w:sz w:val="28"/>
          <w:szCs w:val="28"/>
          <w:u w:val="none"/>
        </w:rPr>
        <w:t xml:space="preserve"> 201</w:t>
      </w:r>
      <w:r>
        <w:rPr>
          <w:sz w:val="28"/>
          <w:szCs w:val="28"/>
          <w:u w:val="none"/>
        </w:rPr>
        <w:t>4 – bevilgningsfinansiert aktivitet</w:t>
      </w:r>
    </w:p>
    <w:p w14:paraId="6AA81656" w14:textId="77777777" w:rsidR="00846E68" w:rsidRPr="000C6547" w:rsidRDefault="00846E68" w:rsidP="00846E68"/>
    <w:p w14:paraId="4D6DCF03" w14:textId="77777777" w:rsidR="00846E68" w:rsidRDefault="00846E68" w:rsidP="00846E68"/>
    <w:p w14:paraId="5F0C121E" w14:textId="77777777" w:rsidR="00724EFC" w:rsidRDefault="00724EFC" w:rsidP="00724EFC"/>
    <w:p w14:paraId="08AB83E7" w14:textId="2ADB90E8" w:rsidR="00846E68" w:rsidRDefault="001C703B" w:rsidP="00846E68">
      <w:r>
        <w:t>I 2014 ble det utarbeidet et</w:t>
      </w:r>
      <w:r w:rsidR="00846E68">
        <w:t xml:space="preserve"> budsjett i balanse, hvor planlagt aktivitet skulle være tilnærmet lik forventet inntektsnivå. Nivået på ubrukte bevilgninger lå ved inngangen til 2014 på drøyt 5 % av forårets bevilgning fra departementet, og det var ønskelig å ikke bygge ned ubrukte bevilgninger ytterligere. </w:t>
      </w:r>
    </w:p>
    <w:p w14:paraId="37253680" w14:textId="77777777" w:rsidR="00724EFC" w:rsidRDefault="00724EFC" w:rsidP="00846E68"/>
    <w:p w14:paraId="67BF762B" w14:textId="1BED64DC" w:rsidR="00724EFC" w:rsidRDefault="00724EFC" w:rsidP="00724EFC">
      <w:r>
        <w:t xml:space="preserve">Budsjett for 2014 viste totalt sett et positivt resultat på 1,5 mill kr. Fakultetene/VM budsjetterte med et underskudd/nedbygging av avsetninger på 41 mill, mens fellesadministrasjonen budsjetterte med et overskudd/oppbygging på 42,5 mill kr. </w:t>
      </w:r>
    </w:p>
    <w:p w14:paraId="50BC726D" w14:textId="77777777" w:rsidR="00352FE7" w:rsidRDefault="00352FE7" w:rsidP="00846E68"/>
    <w:p w14:paraId="1A7E1113" w14:textId="725694C8" w:rsidR="00352FE7" w:rsidRDefault="00352FE7" w:rsidP="00352FE7">
      <w:r>
        <w:t xml:space="preserve">For NTNU </w:t>
      </w:r>
      <w:r w:rsidR="004A2DE0">
        <w:t>anses</w:t>
      </w:r>
      <w:r>
        <w:t xml:space="preserve"> det </w:t>
      </w:r>
      <w:r w:rsidR="004A2DE0">
        <w:t xml:space="preserve">som </w:t>
      </w:r>
      <w:r>
        <w:t xml:space="preserve">akseptabelt å ha ett nivå på ubrukte bevilgninger i størrelsesorden 5-10 % av bevilgningen fra departementet (200-400 mill. kr). Bakgrunnen for dette er blant annet at NTNU er selvassurerende, og </w:t>
      </w:r>
      <w:r w:rsidR="00444998">
        <w:t xml:space="preserve">således ønsker å ha et visst nivå av ubrukte bevilgninger for å håndtere denne risikoen. </w:t>
      </w:r>
    </w:p>
    <w:p w14:paraId="4A66F254" w14:textId="77777777" w:rsidR="00352FE7" w:rsidRDefault="00352FE7" w:rsidP="00352FE7"/>
    <w:p w14:paraId="7675AEAC" w14:textId="77777777" w:rsidR="00846E68" w:rsidRDefault="00846E68" w:rsidP="00846E68"/>
    <w:p w14:paraId="1BBAEADB" w14:textId="77777777" w:rsidR="00846E68" w:rsidRDefault="00846E68" w:rsidP="00846E68">
      <w:pPr>
        <w:pStyle w:val="Overskrift2"/>
        <w:numPr>
          <w:ilvl w:val="1"/>
          <w:numId w:val="1"/>
        </w:numPr>
        <w:spacing w:before="120" w:after="120"/>
        <w:ind w:left="283" w:firstLine="0"/>
        <w:rPr>
          <w:rFonts w:eastAsia="Calibri"/>
          <w:lang w:eastAsia="en-US"/>
        </w:rPr>
      </w:pPr>
      <w:r>
        <w:rPr>
          <w:rFonts w:eastAsia="Calibri"/>
          <w:lang w:eastAsia="en-US"/>
        </w:rPr>
        <w:t>Gjennomføring av budsjett 2014</w:t>
      </w:r>
    </w:p>
    <w:p w14:paraId="6CD09C76" w14:textId="77777777" w:rsidR="00846E68" w:rsidRDefault="00846E68" w:rsidP="00846E68"/>
    <w:p w14:paraId="1A0F50F5" w14:textId="77777777" w:rsidR="00846E68" w:rsidRDefault="00846E68" w:rsidP="00846E68">
      <w:r>
        <w:t>Resultatet for 2014 viser et overskudd på 11</w:t>
      </w:r>
      <w:r w:rsidR="00861480">
        <w:t>5</w:t>
      </w:r>
      <w:r>
        <w:t xml:space="preserve"> mill.kr, mot et budsjettert overskudd på 1,5mill.kr</w:t>
      </w:r>
    </w:p>
    <w:p w14:paraId="58A184AB" w14:textId="5114B84D" w:rsidR="00846E68" w:rsidRDefault="00846E68" w:rsidP="00846E68">
      <w:r>
        <w:t>NTNU har altså hatt en aktivitet i 2014 som er 11</w:t>
      </w:r>
      <w:r w:rsidR="00861480">
        <w:t>3</w:t>
      </w:r>
      <w:r>
        <w:t>,5 mill.kr lavere enn budsjettert. Fakultetene står for om lag 54 mill</w:t>
      </w:r>
      <w:r w:rsidR="00645F8A">
        <w:t>.kr</w:t>
      </w:r>
      <w:r>
        <w:t xml:space="preserve"> av </w:t>
      </w:r>
      <w:r w:rsidR="0067617B">
        <w:t xml:space="preserve">dette </w:t>
      </w:r>
      <w:r>
        <w:t>mindreforbruket, mens ca 60 mill</w:t>
      </w:r>
      <w:r w:rsidR="00645F8A">
        <w:t>.kr</w:t>
      </w:r>
      <w:r>
        <w:t xml:space="preserve"> av mindreforbruket er aktivitet budsjettert på fellesadministrasjonen (inkl nasjonale sentra). </w:t>
      </w:r>
    </w:p>
    <w:p w14:paraId="476B80C4" w14:textId="77777777" w:rsidR="00846E68" w:rsidRDefault="00846E68" w:rsidP="00846E68"/>
    <w:p w14:paraId="71DE530E" w14:textId="15251008" w:rsidR="0076579E" w:rsidRDefault="00846E68" w:rsidP="00846E68">
      <w:r>
        <w:t xml:space="preserve">Mindreforbruket </w:t>
      </w:r>
      <w:r w:rsidR="0067617B">
        <w:t xml:space="preserve">mot budsjett i 2014 </w:t>
      </w:r>
      <w:r w:rsidR="008D5391">
        <w:t xml:space="preserve">kan i </w:t>
      </w:r>
      <w:r w:rsidR="0067617B">
        <w:t xml:space="preserve">stor grad </w:t>
      </w:r>
      <w:r w:rsidR="008D5391">
        <w:t xml:space="preserve">forklares av </w:t>
      </w:r>
      <w:r>
        <w:t xml:space="preserve">forsinket aktivitet knyttet til planlagte investeringer og igangsetting av nye strategiske satsninger. </w:t>
      </w:r>
      <w:r w:rsidR="00591A21">
        <w:t>NTNUs nye toppforskningsprogram</w:t>
      </w:r>
      <w:r w:rsidR="008D5391">
        <w:t xml:space="preserve"> er en av d</w:t>
      </w:r>
      <w:r w:rsidR="00123BED">
        <w:t xml:space="preserve">e </w:t>
      </w:r>
      <w:r w:rsidR="00DC1059">
        <w:t xml:space="preserve">nye </w:t>
      </w:r>
      <w:r w:rsidR="00123BED">
        <w:t xml:space="preserve">strategiske satsningene </w:t>
      </w:r>
      <w:r w:rsidR="00DC1059">
        <w:t xml:space="preserve">hvor det </w:t>
      </w:r>
      <w:r w:rsidR="004A2DE0">
        <w:t xml:space="preserve">både </w:t>
      </w:r>
      <w:r w:rsidR="00DC1059">
        <w:t>har tatt tid å få på plass strukturen og oppbyggingen av selve programmet</w:t>
      </w:r>
      <w:r w:rsidR="004A2DE0">
        <w:t xml:space="preserve">, og å </w:t>
      </w:r>
      <w:r w:rsidR="000929C6">
        <w:t xml:space="preserve">finne riktige personer </w:t>
      </w:r>
      <w:r w:rsidR="0076579E">
        <w:t>til</w:t>
      </w:r>
      <w:r w:rsidR="00123BED">
        <w:t xml:space="preserve"> flere av </w:t>
      </w:r>
      <w:r w:rsidR="008D5391">
        <w:t>de tiltenkte stillingene</w:t>
      </w:r>
      <w:r w:rsidR="0067617B">
        <w:t xml:space="preserve">. </w:t>
      </w:r>
      <w:r w:rsidR="0076579E">
        <w:t>Også når det gjelder de nye tematiske satsningsområdene</w:t>
      </w:r>
      <w:r w:rsidR="008D5391">
        <w:t xml:space="preserve"> </w:t>
      </w:r>
      <w:r w:rsidR="0076579E">
        <w:t xml:space="preserve">og </w:t>
      </w:r>
      <w:r w:rsidR="00DC1059">
        <w:t xml:space="preserve">satsningen innenfor </w:t>
      </w:r>
      <w:r w:rsidR="0076579E">
        <w:t>innovativ utdanning</w:t>
      </w:r>
      <w:r w:rsidR="008D5391">
        <w:t xml:space="preserve"> har det </w:t>
      </w:r>
      <w:r w:rsidR="00DC1059">
        <w:t xml:space="preserve">av ulike grunner </w:t>
      </w:r>
      <w:r w:rsidR="008D5391">
        <w:t xml:space="preserve">vært </w:t>
      </w:r>
      <w:r w:rsidR="00724293">
        <w:t xml:space="preserve">en del </w:t>
      </w:r>
      <w:r w:rsidR="008D5391">
        <w:t xml:space="preserve">forsinkelser knyttet til oppstart. </w:t>
      </w:r>
    </w:p>
    <w:p w14:paraId="24BB8D15" w14:textId="77777777" w:rsidR="0076579E" w:rsidRDefault="0076579E" w:rsidP="00846E68"/>
    <w:p w14:paraId="0237C795" w14:textId="6AD39FBE" w:rsidR="00846E68" w:rsidRDefault="008D5391" w:rsidP="00846E68">
      <w:r>
        <w:t xml:space="preserve">En annen årsak til at NTNU får et positivt budsjettavvik i 2014, er at </w:t>
      </w:r>
      <w:r w:rsidR="00846E68">
        <w:t xml:space="preserve">inntekter fra BOA-aktiviteten </w:t>
      </w:r>
      <w:r>
        <w:t xml:space="preserve">har vært større enn </w:t>
      </w:r>
      <w:r w:rsidR="00846E68">
        <w:t>forventet</w:t>
      </w:r>
      <w:r>
        <w:t xml:space="preserve">, og dermed </w:t>
      </w:r>
      <w:r w:rsidR="00846E68">
        <w:t>medført positive inntektsavvik</w:t>
      </w:r>
      <w:r>
        <w:t>.</w:t>
      </w:r>
      <w:r w:rsidR="00846E68">
        <w:t xml:space="preserve"> </w:t>
      </w:r>
    </w:p>
    <w:p w14:paraId="30F05394" w14:textId="77777777" w:rsidR="00846E68" w:rsidRDefault="00846E68" w:rsidP="00846E68"/>
    <w:p w14:paraId="0EC3344E" w14:textId="49809789" w:rsidR="00846E68" w:rsidRDefault="00846E68" w:rsidP="00846E68">
      <w:r>
        <w:t xml:space="preserve">Ved utgangen av 2014 har NTNU totalt </w:t>
      </w:r>
      <w:r w:rsidR="00861480">
        <w:t>321</w:t>
      </w:r>
      <w:r>
        <w:t xml:space="preserve"> mill.kr i ubrukte bevilgninger, noe som utgjør ca 8% av bevilgning fra departementet. Fakultetene har samlet sett ubrukte bevilgning</w:t>
      </w:r>
      <w:r w:rsidR="004A2DE0">
        <w:t>er</w:t>
      </w:r>
      <w:r>
        <w:t xml:space="preserve"> på 285 mill kr, og de nasjonale sentrene (Renatesenteret, Artsdatabanken og Matematikksenteret) har 38 mill kr i akkumulerte midler. Fellesadministrasjonen </w:t>
      </w:r>
      <w:r w:rsidR="00957C26">
        <w:t xml:space="preserve">er </w:t>
      </w:r>
      <w:r>
        <w:t xml:space="preserve">i 2014 </w:t>
      </w:r>
      <w:r w:rsidR="00957C26">
        <w:t xml:space="preserve">omtrent </w:t>
      </w:r>
      <w:r>
        <w:t xml:space="preserve">i balanse. </w:t>
      </w:r>
    </w:p>
    <w:p w14:paraId="71BA4F27" w14:textId="77777777" w:rsidR="00846E68" w:rsidRDefault="00846E68" w:rsidP="00846E68"/>
    <w:p w14:paraId="137B7B90" w14:textId="77777777" w:rsidR="00846E68" w:rsidRDefault="00846E68" w:rsidP="00846E68"/>
    <w:p w14:paraId="0340087A" w14:textId="77777777" w:rsidR="00846E68" w:rsidRDefault="00846E68" w:rsidP="00A46501">
      <w:pPr>
        <w:pStyle w:val="Overskrift2"/>
        <w:numPr>
          <w:ilvl w:val="1"/>
          <w:numId w:val="1"/>
        </w:numPr>
        <w:spacing w:before="120" w:after="120"/>
        <w:ind w:left="283" w:firstLine="0"/>
        <w:rPr>
          <w:rFonts w:eastAsia="Calibri"/>
          <w:lang w:eastAsia="en-US"/>
        </w:rPr>
      </w:pPr>
      <w:r w:rsidRPr="00D31864">
        <w:rPr>
          <w:rFonts w:eastAsia="Calibri"/>
          <w:lang w:eastAsia="en-US"/>
        </w:rPr>
        <w:t xml:space="preserve">Fakultetene </w:t>
      </w:r>
    </w:p>
    <w:p w14:paraId="4A91D689" w14:textId="77777777" w:rsidR="00846E68" w:rsidRDefault="00846E68" w:rsidP="00846E68">
      <w:pPr>
        <w:rPr>
          <w:rFonts w:eastAsia="Calibri"/>
          <w:lang w:eastAsia="en-US"/>
        </w:rPr>
      </w:pPr>
    </w:p>
    <w:p w14:paraId="1E6DC08E" w14:textId="7124B8D9" w:rsidR="00724EFC" w:rsidRDefault="00A46501" w:rsidP="00846E68">
      <w:r>
        <w:t>Fakultetene leverte</w:t>
      </w:r>
      <w:r w:rsidR="00846E68">
        <w:t xml:space="preserve"> i 2014 et positivt resultat på 13 mill.kr, et resultat som er 54 mill.kr bedre enn budsjettert, og 1,9% avvik i forhold til bevilgning. Dette er et resultat som totalt sett er innenfor prognosespennet satt etter 2.tertial. Enkelte fakultet har imidlertid betydelig mindreforbruk i forhold til budsjett, og ved utgangen av 2014 har flere fakulteter et nivå på ubrukte bevilgninger som er </w:t>
      </w:r>
      <w:r w:rsidR="00FF7B79">
        <w:t>i nærheten av eller over</w:t>
      </w:r>
      <w:r w:rsidR="00846E68">
        <w:t xml:space="preserve"> avsetningstaket på 12% av bevilgning på </w:t>
      </w:r>
      <w:r w:rsidR="00755D89">
        <w:t>driftsrammene</w:t>
      </w:r>
      <w:r w:rsidR="00846E68">
        <w:t xml:space="preserve">. </w:t>
      </w:r>
      <w:r w:rsidR="00FF7B79">
        <w:t xml:space="preserve">Fakultetene med de største avsetningsnivåene er </w:t>
      </w:r>
      <w:r w:rsidR="00846E68">
        <w:t>IVT og VM</w:t>
      </w:r>
      <w:r w:rsidR="00755D89">
        <w:t xml:space="preserve">, som i </w:t>
      </w:r>
      <w:r w:rsidR="00846E68">
        <w:t xml:space="preserve">2014 </w:t>
      </w:r>
      <w:r w:rsidR="00FF7B79">
        <w:t>har hatt unntak fra</w:t>
      </w:r>
      <w:r w:rsidR="00846E68">
        <w:t xml:space="preserve"> avsetningstaket. </w:t>
      </w:r>
    </w:p>
    <w:p w14:paraId="4A12E467" w14:textId="77777777" w:rsidR="00846E68" w:rsidRDefault="00846E68" w:rsidP="00846E68"/>
    <w:p w14:paraId="51D112FE" w14:textId="584024F0" w:rsidR="00846E68" w:rsidRDefault="00846E68" w:rsidP="00846E68">
      <w:r>
        <w:t xml:space="preserve">Det Humanistiske fakultet har vært i en økonomisk situasjon hvor det har vært ønskelig å redusere aktiviteten noe i 2014 i forhold til budsjett, da aktiviteten en tid har vært for høy i forhold til inntektsnivået. HF hadde ved inngangen til 2014 </w:t>
      </w:r>
      <w:r w:rsidR="004F7B03">
        <w:t>et negativt avsetningsnivå</w:t>
      </w:r>
      <w:r>
        <w:t xml:space="preserve"> på ca 2 mill.kr, men har ved utgangen av året en positiv balanse på 1 mill.</w:t>
      </w:r>
      <w:r w:rsidR="00295741">
        <w:t>kr</w:t>
      </w:r>
      <w:r w:rsidR="00720C63">
        <w:t xml:space="preserve">. </w:t>
      </w:r>
      <w:r>
        <w:t xml:space="preserve">Fakultetet jobber imidlertid fortsatt med å tilpasse </w:t>
      </w:r>
      <w:r w:rsidR="009C6D0D">
        <w:t xml:space="preserve">det planlagte </w:t>
      </w:r>
      <w:r>
        <w:t>aktivitetsnivå</w:t>
      </w:r>
      <w:r w:rsidR="004F7B03">
        <w:t>et i langtidsperioden</w:t>
      </w:r>
      <w:r w:rsidR="00720C63">
        <w:t xml:space="preserve"> for å unngå underskuddssituasjon de kommende årene.</w:t>
      </w:r>
      <w:r>
        <w:t xml:space="preserve"> </w:t>
      </w:r>
    </w:p>
    <w:p w14:paraId="5CD2705D" w14:textId="77777777" w:rsidR="00B24B97" w:rsidRDefault="00B24B97" w:rsidP="00846E68"/>
    <w:p w14:paraId="102D94AD" w14:textId="77777777" w:rsidR="00B24B97" w:rsidRDefault="00B24B97" w:rsidP="00B24B97">
      <w:pPr>
        <w:pStyle w:val="Overskrift2"/>
        <w:numPr>
          <w:ilvl w:val="1"/>
          <w:numId w:val="1"/>
        </w:numPr>
        <w:spacing w:before="120" w:after="120"/>
        <w:ind w:left="283" w:firstLine="0"/>
      </w:pPr>
      <w:r>
        <w:t>Eiendom</w:t>
      </w:r>
      <w:r w:rsidR="00036CFE">
        <w:t>sområdet</w:t>
      </w:r>
    </w:p>
    <w:p w14:paraId="3FAD721C" w14:textId="77777777" w:rsidR="00B24B97" w:rsidRPr="00A90D05" w:rsidRDefault="00B24B97" w:rsidP="00B24B97"/>
    <w:p w14:paraId="7BFF7E06" w14:textId="2E4005EC" w:rsidR="00A90D05" w:rsidRPr="00A90D05" w:rsidRDefault="00A90D05" w:rsidP="00A90D05">
      <w:pPr>
        <w:rPr>
          <w:sz w:val="22"/>
        </w:rPr>
      </w:pPr>
      <w:r>
        <w:t>NTNU har i 2014 brukt 234</w:t>
      </w:r>
      <w:r w:rsidRPr="00A90D05">
        <w:t xml:space="preserve"> mill</w:t>
      </w:r>
      <w:r>
        <w:t>.</w:t>
      </w:r>
      <w:r w:rsidRPr="00A90D05">
        <w:t>kr på investeringer i bygningsmassen, både knyttet til nedbygging av vedlikeholdsetterslepet og til oppgradering av bygninger. Rehabilitering av fasadene på Dragvoll ble sluttført i 2014. I tillegg er både flere fasader og ventilasjonsanlegg på Gløshaugen rehabilite</w:t>
      </w:r>
      <w:r w:rsidR="005269A8">
        <w:t xml:space="preserve">rt. </w:t>
      </w:r>
    </w:p>
    <w:p w14:paraId="1392B4ED" w14:textId="77777777" w:rsidR="00A90D05" w:rsidRPr="00A90D05" w:rsidRDefault="00A90D05" w:rsidP="00A90D05"/>
    <w:p w14:paraId="7E33AE9A" w14:textId="77777777" w:rsidR="00A90D05" w:rsidRPr="00A90D05" w:rsidRDefault="00A90D05" w:rsidP="00A90D05">
      <w:r w:rsidRPr="00A90D05">
        <w:t xml:space="preserve">Av større prosjekt vil oppgradering av Varmetekniske laboratorier (ESFRI) og </w:t>
      </w:r>
      <w:r w:rsidR="005269A8">
        <w:t>oppgradering av Kjemiblokk 3 ha</w:t>
      </w:r>
      <w:r w:rsidRPr="00A90D05">
        <w:t xml:space="preserve"> stor</w:t>
      </w:r>
      <w:r w:rsidR="005269A8">
        <w:t>t</w:t>
      </w:r>
      <w:r w:rsidRPr="00A90D05">
        <w:t xml:space="preserve"> fokus i 2015 og 2016. Planlegging og forberedende arbeider ble gjennomført i 2014. Disse prosjektene har kostnadsrammer på hhv 100 mill kr og rundt 200 mill kr. I 2015 fortsettes også arbeidet med oppgradering av diverse forskningsareal på Øya, blant annet oppstart på tilrettelegging for nytt MR-laboratorium i Kvinne-barnsenteret. </w:t>
      </w:r>
    </w:p>
    <w:p w14:paraId="1FBE473A" w14:textId="77777777" w:rsidR="00A90D05" w:rsidRPr="00A90D05" w:rsidRDefault="00A90D05" w:rsidP="00A90D05"/>
    <w:p w14:paraId="61BF4A85" w14:textId="77777777" w:rsidR="00B24B97" w:rsidRPr="00A90D05" w:rsidRDefault="00A90D05" w:rsidP="00B24B97">
      <w:r w:rsidRPr="00A90D05">
        <w:t>NTNU</w:t>
      </w:r>
      <w:r w:rsidR="005269A8">
        <w:t xml:space="preserve"> har i 2014 kommet i gang med re</w:t>
      </w:r>
      <w:r w:rsidRPr="00A90D05">
        <w:t>habilitering av Thingva</w:t>
      </w:r>
      <w:r w:rsidR="005269A8">
        <w:t>llagården til boliger for gjeste</w:t>
      </w:r>
      <w:r w:rsidRPr="00A90D05">
        <w:t xml:space="preserve">forskere. Prognosene for ferdig rehabilitert bygg ligger nå på ca 65 mill kr. Kalkylene i forprosjektet i 2011 anslo en prosjektkostnad på 42 mil (2011-kostnader). Behov for refundamentering, dårligere teknisk tilstand enn det som var avdekt tidligere, tilhørende omprosjektering, tilknytning til fjernvarmeanlegg, en ekstra leilighet, i tillegg til prisstigning (stipulert til 6 mill) er de viktigste årsakene til de økte kostnadene. Prosjektet vil pågå både i 2015 og i 2016. </w:t>
      </w:r>
    </w:p>
    <w:p w14:paraId="029AB0FA" w14:textId="77777777" w:rsidR="00846E68" w:rsidRPr="006B3193" w:rsidRDefault="00846E68" w:rsidP="00846E68">
      <w:pPr>
        <w:rPr>
          <w:color w:val="FF0000"/>
        </w:rPr>
      </w:pPr>
    </w:p>
    <w:p w14:paraId="03842670" w14:textId="77777777" w:rsidR="00846E68" w:rsidRDefault="00846E68" w:rsidP="00846E68"/>
    <w:p w14:paraId="7FC35254" w14:textId="77777777" w:rsidR="00703C7F" w:rsidRPr="00986878" w:rsidRDefault="00986878" w:rsidP="00A11926">
      <w:pPr>
        <w:pStyle w:val="Overskrift1"/>
        <w:numPr>
          <w:ilvl w:val="0"/>
          <w:numId w:val="1"/>
        </w:numPr>
        <w:rPr>
          <w:sz w:val="28"/>
          <w:szCs w:val="28"/>
          <w:u w:val="none"/>
        </w:rPr>
      </w:pPr>
      <w:r>
        <w:rPr>
          <w:sz w:val="28"/>
          <w:szCs w:val="28"/>
          <w:u w:val="none"/>
        </w:rPr>
        <w:t>Budsjett 2015 og langtidsbudsjett 2015</w:t>
      </w:r>
      <w:r w:rsidR="00DD0CEA" w:rsidRPr="00986878">
        <w:rPr>
          <w:sz w:val="28"/>
          <w:szCs w:val="28"/>
          <w:u w:val="none"/>
        </w:rPr>
        <w:t>-201</w:t>
      </w:r>
      <w:r>
        <w:rPr>
          <w:sz w:val="28"/>
          <w:szCs w:val="28"/>
          <w:u w:val="none"/>
        </w:rPr>
        <w:t>8</w:t>
      </w:r>
      <w:r w:rsidR="00541087" w:rsidRPr="00986878">
        <w:rPr>
          <w:sz w:val="28"/>
          <w:szCs w:val="28"/>
          <w:u w:val="none"/>
        </w:rPr>
        <w:t xml:space="preserve"> – bevilgningsfinansiert aktivitet</w:t>
      </w:r>
    </w:p>
    <w:p w14:paraId="033A67D5" w14:textId="77777777" w:rsidR="00D71697" w:rsidRPr="00986878" w:rsidRDefault="00D71697">
      <w:pPr>
        <w:rPr>
          <w:b/>
          <w:sz w:val="28"/>
          <w:szCs w:val="28"/>
        </w:rPr>
      </w:pPr>
    </w:p>
    <w:p w14:paraId="72ADFC5D" w14:textId="77777777" w:rsidR="000B67AC" w:rsidRPr="00986878" w:rsidRDefault="00986878" w:rsidP="00D71697">
      <w:r>
        <w:t>Under behandlingen av S-sak 29/14</w:t>
      </w:r>
      <w:r w:rsidR="00D71697" w:rsidRPr="00986878">
        <w:t xml:space="preserve"> </w:t>
      </w:r>
      <w:r w:rsidR="00D71697" w:rsidRPr="00986878">
        <w:rPr>
          <w:i/>
        </w:rPr>
        <w:t>Strate</w:t>
      </w:r>
      <w:r>
        <w:rPr>
          <w:i/>
        </w:rPr>
        <w:t>gi og budsjettfordeling for 2015, samt langtidsutsikter 2016-2018</w:t>
      </w:r>
      <w:r w:rsidR="00D71697" w:rsidRPr="00986878">
        <w:rPr>
          <w:i/>
        </w:rPr>
        <w:t xml:space="preserve"> </w:t>
      </w:r>
      <w:r w:rsidR="00D71697" w:rsidRPr="00986878">
        <w:t>vedtok styret fordelingen av bevilgning til enhetene, dvs</w:t>
      </w:r>
      <w:r w:rsidR="00CE41A1" w:rsidRPr="00986878">
        <w:t>.</w:t>
      </w:r>
      <w:r w:rsidR="00D71697" w:rsidRPr="00986878">
        <w:t xml:space="preserve"> inntektssiden i budsjettene. Etter </w:t>
      </w:r>
      <w:r w:rsidR="00D53FB9" w:rsidRPr="00986878">
        <w:t>dette er</w:t>
      </w:r>
      <w:r w:rsidR="000B67AC" w:rsidRPr="00986878">
        <w:t xml:space="preserve"> det</w:t>
      </w:r>
      <w:r w:rsidR="00D53FB9" w:rsidRPr="00986878">
        <w:t xml:space="preserve"> </w:t>
      </w:r>
      <w:r w:rsidR="00D71697" w:rsidRPr="00986878">
        <w:t xml:space="preserve">arbeidet </w:t>
      </w:r>
      <w:r w:rsidR="00D53FB9" w:rsidRPr="00986878">
        <w:t xml:space="preserve">med detaljering av </w:t>
      </w:r>
      <w:r w:rsidR="00D71697" w:rsidRPr="00986878">
        <w:t>kostnadsnivå</w:t>
      </w:r>
      <w:r>
        <w:t>et for 2015</w:t>
      </w:r>
      <w:r w:rsidR="00D71697" w:rsidRPr="00986878">
        <w:t xml:space="preserve"> og langtidsbudsjettet.</w:t>
      </w:r>
      <w:r w:rsidR="00D53FB9" w:rsidRPr="00986878">
        <w:t xml:space="preserve"> </w:t>
      </w:r>
    </w:p>
    <w:p w14:paraId="17B77F84" w14:textId="77777777" w:rsidR="000B67AC" w:rsidRPr="00986878" w:rsidRDefault="000B67AC" w:rsidP="00D71697"/>
    <w:p w14:paraId="2094788D" w14:textId="77777777" w:rsidR="009F0C81" w:rsidRPr="00986878" w:rsidRDefault="009F0C81" w:rsidP="00DD0CEA"/>
    <w:p w14:paraId="7AE16F64" w14:textId="77777777" w:rsidR="00A11926" w:rsidRPr="00986878" w:rsidRDefault="00986878" w:rsidP="00A11926">
      <w:pPr>
        <w:pStyle w:val="Overskrift2"/>
        <w:numPr>
          <w:ilvl w:val="1"/>
          <w:numId w:val="1"/>
        </w:numPr>
        <w:spacing w:before="120" w:after="120"/>
        <w:ind w:left="283" w:firstLine="0"/>
        <w:rPr>
          <w:rFonts w:eastAsia="Calibri"/>
          <w:lang w:eastAsia="en-US"/>
        </w:rPr>
      </w:pPr>
      <w:r>
        <w:rPr>
          <w:rFonts w:eastAsia="Calibri"/>
          <w:lang w:eastAsia="en-US"/>
        </w:rPr>
        <w:t>Budsjett 2015</w:t>
      </w:r>
    </w:p>
    <w:p w14:paraId="43C5E3D4" w14:textId="56DC41E0" w:rsidR="00822F80" w:rsidRDefault="00295741" w:rsidP="00986878">
      <w:r>
        <w:t>NTNU har i 2015 et budsjett hvor kostnaden</w:t>
      </w:r>
      <w:r w:rsidR="00AE1307">
        <w:t>e er 75</w:t>
      </w:r>
      <w:r w:rsidR="00F217F8">
        <w:t xml:space="preserve"> mill.kr. høyere enn inntektene. </w:t>
      </w:r>
      <w:r w:rsidR="00724293">
        <w:t>Bakgrunnen for dette</w:t>
      </w:r>
      <w:r w:rsidR="005C2207">
        <w:t xml:space="preserve"> er </w:t>
      </w:r>
      <w:r w:rsidR="00AC0918">
        <w:t xml:space="preserve">todelt. Fakultetene </w:t>
      </w:r>
      <w:r w:rsidR="003A5AD4">
        <w:t>budsjetterer</w:t>
      </w:r>
      <w:r w:rsidR="00AC0918">
        <w:t xml:space="preserve"> med å ta igjen noe etterslep </w:t>
      </w:r>
      <w:r w:rsidR="00AA0432">
        <w:t>fra 2014</w:t>
      </w:r>
      <w:r w:rsidR="003A5AD4">
        <w:t>,</w:t>
      </w:r>
      <w:r w:rsidR="00AA0432">
        <w:t xml:space="preserve"> </w:t>
      </w:r>
      <w:r w:rsidR="00A10911">
        <w:t>samt</w:t>
      </w:r>
      <w:r w:rsidR="00AC0918">
        <w:t xml:space="preserve"> en videre nedbygging av utstyrsbevilgningen som ble gitt til ny universitetsklinikk</w:t>
      </w:r>
      <w:r w:rsidR="00A10911">
        <w:t xml:space="preserve">. </w:t>
      </w:r>
      <w:r w:rsidR="003A5AD4">
        <w:t>Eien</w:t>
      </w:r>
      <w:r w:rsidR="00AA0432">
        <w:t xml:space="preserve">domsområdet </w:t>
      </w:r>
      <w:r w:rsidR="0077463F">
        <w:t xml:space="preserve">budsjetterer med et underskudd </w:t>
      </w:r>
      <w:r w:rsidR="00A10911">
        <w:t xml:space="preserve">som </w:t>
      </w:r>
      <w:r w:rsidR="00142C77">
        <w:t xml:space="preserve">i hovedsak </w:t>
      </w:r>
      <w:r w:rsidR="0077463F">
        <w:t xml:space="preserve">forklares av </w:t>
      </w:r>
      <w:r w:rsidR="00A10911">
        <w:t>eksisterende prosjekters fremdriftsplan</w:t>
      </w:r>
      <w:r w:rsidR="00142C77">
        <w:t xml:space="preserve">. Øremerket bevilgning til ESFRI-prosjektet (100 mill.kr) ble eksempelvis inntektsført i 2014, mens kostnadene knyttet til dette prosjektet forventes </w:t>
      </w:r>
      <w:r w:rsidR="00501E36">
        <w:t xml:space="preserve">å </w:t>
      </w:r>
      <w:r w:rsidR="00142C77">
        <w:t xml:space="preserve">påløpe </w:t>
      </w:r>
      <w:r w:rsidR="00501E36">
        <w:t>over</w:t>
      </w:r>
      <w:r w:rsidR="00142C77">
        <w:t xml:space="preserve"> perioden 2014-2016.</w:t>
      </w:r>
    </w:p>
    <w:p w14:paraId="459C666E" w14:textId="77777777" w:rsidR="00822F80" w:rsidRDefault="00822F80" w:rsidP="00986878"/>
    <w:p w14:paraId="2765AD61" w14:textId="0C739D64" w:rsidR="00E244EA" w:rsidRPr="00A90D05" w:rsidRDefault="00F217F8" w:rsidP="00E244EA">
      <w:pPr>
        <w:rPr>
          <w:sz w:val="22"/>
        </w:rPr>
      </w:pPr>
      <w:r>
        <w:t xml:space="preserve">Erfaring fra 2014 </w:t>
      </w:r>
      <w:r w:rsidR="009E35FD">
        <w:t>viser</w:t>
      </w:r>
      <w:r w:rsidR="00454DB4">
        <w:t xml:space="preserve"> </w:t>
      </w:r>
      <w:r>
        <w:t>at</w:t>
      </w:r>
      <w:r w:rsidR="00E8491C">
        <w:t xml:space="preserve"> det </w:t>
      </w:r>
      <w:r w:rsidR="009E35FD">
        <w:t xml:space="preserve">er </w:t>
      </w:r>
      <w:r w:rsidR="009744C6">
        <w:t>sannsynlig</w:t>
      </w:r>
      <w:r w:rsidR="009E35FD">
        <w:t xml:space="preserve"> at det</w:t>
      </w:r>
      <w:r w:rsidR="00E8491C">
        <w:t xml:space="preserve"> </w:t>
      </w:r>
      <w:r w:rsidR="009E35FD">
        <w:t>vil</w:t>
      </w:r>
      <w:r>
        <w:t xml:space="preserve"> </w:t>
      </w:r>
      <w:r w:rsidR="00822F80">
        <w:t xml:space="preserve">oppstå </w:t>
      </w:r>
      <w:r>
        <w:t>forsinkelser knyttet til oppstart på nye</w:t>
      </w:r>
      <w:r w:rsidR="009E35FD">
        <w:t>, større,</w:t>
      </w:r>
      <w:r>
        <w:t xml:space="preserve"> strategiske satsninger</w:t>
      </w:r>
      <w:r w:rsidR="009E35FD">
        <w:t>.</w:t>
      </w:r>
      <w:r w:rsidR="00E8491C">
        <w:t xml:space="preserve"> </w:t>
      </w:r>
      <w:r w:rsidR="00822F80">
        <w:t>For å utligne dette</w:t>
      </w:r>
      <w:r w:rsidR="009E35FD">
        <w:t>,</w:t>
      </w:r>
      <w:r w:rsidR="00822F80">
        <w:t xml:space="preserve"> legges det </w:t>
      </w:r>
      <w:r w:rsidR="00454DB4">
        <w:t>derfor</w:t>
      </w:r>
      <w:r w:rsidR="00501E36">
        <w:t xml:space="preserve"> </w:t>
      </w:r>
      <w:r w:rsidR="00454DB4">
        <w:t xml:space="preserve">også </w:t>
      </w:r>
      <w:r w:rsidR="00E8491C">
        <w:t xml:space="preserve">opp til å forsere en del større </w:t>
      </w:r>
      <w:r w:rsidR="00822F80">
        <w:t>bygge</w:t>
      </w:r>
      <w:r w:rsidR="00E8491C">
        <w:t xml:space="preserve">prosjekter </w:t>
      </w:r>
      <w:r w:rsidR="003A5AD4">
        <w:t xml:space="preserve">på </w:t>
      </w:r>
      <w:r w:rsidR="00E8491C">
        <w:t>Eiendomsområdet</w:t>
      </w:r>
      <w:r w:rsidR="005C2207">
        <w:t xml:space="preserve">, </w:t>
      </w:r>
      <w:r w:rsidR="00E8491C">
        <w:t xml:space="preserve">bl.a knyttet til </w:t>
      </w:r>
      <w:r w:rsidR="00624446">
        <w:t xml:space="preserve">Kjemihall </w:t>
      </w:r>
      <w:r w:rsidR="00E8491C">
        <w:t>og Kjemiblokk 3.</w:t>
      </w:r>
      <w:r w:rsidR="00AA0432">
        <w:t xml:space="preserve"> I</w:t>
      </w:r>
      <w:r w:rsidR="00E244EA">
        <w:t xml:space="preserve"> 2015 er planen å bruke 285 mill.</w:t>
      </w:r>
      <w:r w:rsidR="00E244EA" w:rsidRPr="00A90D05">
        <w:t>kr på investeringer i bygningsmassen</w:t>
      </w:r>
      <w:r w:rsidR="00E244EA">
        <w:t xml:space="preserve">, </w:t>
      </w:r>
      <w:r w:rsidR="005C2207">
        <w:t xml:space="preserve">en økning på 51 mill.kr sammenlignet med </w:t>
      </w:r>
      <w:r w:rsidR="00E244EA">
        <w:t xml:space="preserve">i 2014.  </w:t>
      </w:r>
    </w:p>
    <w:p w14:paraId="4DB6FC14" w14:textId="77777777" w:rsidR="00822F80" w:rsidRDefault="00822F80" w:rsidP="00986878"/>
    <w:p w14:paraId="357B5C0B" w14:textId="4A69AC4A" w:rsidR="00986878" w:rsidRDefault="00977759" w:rsidP="00986878">
      <w:r>
        <w:t xml:space="preserve">Budsjettet for 2015 innebærer at NTNU ved utgangen av </w:t>
      </w:r>
      <w:r w:rsidR="00274103">
        <w:t xml:space="preserve">året </w:t>
      </w:r>
      <w:r>
        <w:t>vil ha ubrukte bevilgninger i størrelsesorden 6% av bevilgningsinntekten.</w:t>
      </w:r>
    </w:p>
    <w:p w14:paraId="5886F0A1" w14:textId="77777777" w:rsidR="00986878" w:rsidRDefault="00986878" w:rsidP="00986878">
      <w:r>
        <w:t> </w:t>
      </w:r>
    </w:p>
    <w:p w14:paraId="2DC362DD" w14:textId="263CA84F" w:rsidR="00E847BA" w:rsidRDefault="009E35FD" w:rsidP="00986878">
      <w:r>
        <w:rPr>
          <w:noProof/>
        </w:rPr>
        <mc:AlternateContent>
          <mc:Choice Requires="wps">
            <w:drawing>
              <wp:anchor distT="0" distB="0" distL="114300" distR="114300" simplePos="0" relativeHeight="251662336" behindDoc="0" locked="0" layoutInCell="1" allowOverlap="1" wp14:anchorId="14FE4F7E" wp14:editId="54C482E5">
                <wp:simplePos x="0" y="0"/>
                <wp:positionH relativeFrom="column">
                  <wp:posOffset>0</wp:posOffset>
                </wp:positionH>
                <wp:positionV relativeFrom="paragraph">
                  <wp:posOffset>3061970</wp:posOffset>
                </wp:positionV>
                <wp:extent cx="3800475" cy="635"/>
                <wp:effectExtent l="0" t="0" r="0" b="0"/>
                <wp:wrapSquare wrapText="bothSides"/>
                <wp:docPr id="3" name="Tekstboks 3"/>
                <wp:cNvGraphicFramePr/>
                <a:graphic xmlns:a="http://schemas.openxmlformats.org/drawingml/2006/main">
                  <a:graphicData uri="http://schemas.microsoft.com/office/word/2010/wordprocessingShape">
                    <wps:wsp>
                      <wps:cNvSpPr txBox="1"/>
                      <wps:spPr>
                        <a:xfrm>
                          <a:off x="0" y="0"/>
                          <a:ext cx="3800475" cy="635"/>
                        </a:xfrm>
                        <a:prstGeom prst="rect">
                          <a:avLst/>
                        </a:prstGeom>
                        <a:solidFill>
                          <a:prstClr val="white"/>
                        </a:solidFill>
                        <a:ln>
                          <a:noFill/>
                        </a:ln>
                        <a:effectLst/>
                      </wps:spPr>
                      <wps:txbx>
                        <w:txbxContent>
                          <w:p w14:paraId="3F7B8659" w14:textId="225210F8" w:rsidR="009E35FD" w:rsidRPr="009E35FD" w:rsidRDefault="009E35FD" w:rsidP="009E35FD">
                            <w:pPr>
                              <w:pStyle w:val="Bildetekst"/>
                              <w:rPr>
                                <w:noProof/>
                                <w:color w:val="auto"/>
                                <w:sz w:val="24"/>
                                <w:szCs w:val="20"/>
                              </w:rPr>
                            </w:pPr>
                            <w:r w:rsidRPr="009E35FD">
                              <w:rPr>
                                <w:color w:val="auto"/>
                              </w:rPr>
                              <w:t xml:space="preserve">Figur </w:t>
                            </w:r>
                            <w:r w:rsidRPr="009E35FD">
                              <w:rPr>
                                <w:color w:val="auto"/>
                              </w:rPr>
                              <w:fldChar w:fldCharType="begin"/>
                            </w:r>
                            <w:r w:rsidRPr="009E35FD">
                              <w:rPr>
                                <w:color w:val="auto"/>
                              </w:rPr>
                              <w:instrText xml:space="preserve"> SEQ Figur \* ARABIC </w:instrText>
                            </w:r>
                            <w:r w:rsidRPr="009E35FD">
                              <w:rPr>
                                <w:color w:val="auto"/>
                              </w:rPr>
                              <w:fldChar w:fldCharType="separate"/>
                            </w:r>
                            <w:r w:rsidR="00A763FC">
                              <w:rPr>
                                <w:noProof/>
                                <w:color w:val="auto"/>
                              </w:rPr>
                              <w:t>1</w:t>
                            </w:r>
                            <w:r w:rsidRPr="009E35FD">
                              <w:rPr>
                                <w:color w:val="auto"/>
                              </w:rPr>
                              <w:fldChar w:fldCharType="end"/>
                            </w:r>
                            <w:r w:rsidRPr="009E35FD">
                              <w:rPr>
                                <w:color w:val="auto"/>
                              </w:rPr>
                              <w:t>: Oversikt over budsjettavvik 2008-2014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4FE4F7E" id="_x0000_t202" coordsize="21600,21600" o:spt="202" path="m,l,21600r21600,l21600,xe">
                <v:stroke joinstyle="miter"/>
                <v:path gradientshapeok="t" o:connecttype="rect"/>
              </v:shapetype>
              <v:shape id="Tekstboks 3" o:spid="_x0000_s1026" type="#_x0000_t202" style="position:absolute;margin-left:0;margin-top:241.1pt;width:299.25pt;height:.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" stroked="f">
                <v:textbox style="mso-fit-shape-to-text:t" inset="0,0,0,0">
                  <w:txbxContent>
                    <w:p w14:paraId="3F7B8659" w14:textId="225210F8" w:rsidR="009E35FD" w:rsidRPr="009E35FD" w:rsidRDefault="009E35FD" w:rsidP="009E35FD">
                      <w:pPr>
                        <w:pStyle w:val="Bildetekst"/>
                        <w:rPr>
                          <w:noProof/>
                          <w:color w:val="auto"/>
                          <w:sz w:val="24"/>
                          <w:szCs w:val="20"/>
                        </w:rPr>
                      </w:pPr>
                      <w:r w:rsidRPr="009E35FD">
                        <w:rPr>
                          <w:color w:val="auto"/>
                        </w:rPr>
                        <w:t xml:space="preserve">Figur </w:t>
                      </w:r>
                      <w:r w:rsidRPr="009E35FD">
                        <w:rPr>
                          <w:color w:val="auto"/>
                        </w:rPr>
                        <w:fldChar w:fldCharType="begin"/>
                      </w:r>
                      <w:r w:rsidRPr="009E35FD">
                        <w:rPr>
                          <w:color w:val="auto"/>
                        </w:rPr>
                        <w:instrText xml:space="preserve"> SEQ Figur \* ARABIC </w:instrText>
                      </w:r>
                      <w:r w:rsidRPr="009E35FD">
                        <w:rPr>
                          <w:color w:val="auto"/>
                        </w:rPr>
                        <w:fldChar w:fldCharType="separate"/>
                      </w:r>
                      <w:r w:rsidR="00A763FC">
                        <w:rPr>
                          <w:noProof/>
                          <w:color w:val="auto"/>
                        </w:rPr>
                        <w:t>1</w:t>
                      </w:r>
                      <w:r w:rsidRPr="009E35FD">
                        <w:rPr>
                          <w:color w:val="auto"/>
                        </w:rPr>
                        <w:fldChar w:fldCharType="end"/>
                      </w:r>
                      <w:r w:rsidRPr="009E35FD">
                        <w:rPr>
                          <w:color w:val="auto"/>
                        </w:rPr>
                        <w:t>: Oversikt over budsjettavvik 2008-2014</w:t>
                      </w:r>
                    </w:p>
                  </w:txbxContent>
                </v:textbox>
                <w10:wrap type="square"/>
              </v:shape>
            </w:pict>
          </mc:Fallback>
        </mc:AlternateContent>
      </w:r>
      <w:r w:rsidR="00B63B7C">
        <w:rPr>
          <w:noProof/>
        </w:rPr>
        <w:drawing>
          <wp:anchor distT="0" distB="0" distL="114300" distR="114300" simplePos="0" relativeHeight="251660288" behindDoc="0" locked="0" layoutInCell="1" allowOverlap="1" wp14:anchorId="0A22D8F0" wp14:editId="75E92369">
            <wp:simplePos x="0" y="0"/>
            <wp:positionH relativeFrom="margin">
              <wp:align>left</wp:align>
            </wp:positionH>
            <wp:positionV relativeFrom="paragraph">
              <wp:posOffset>633095</wp:posOffset>
            </wp:positionV>
            <wp:extent cx="3800475" cy="2371725"/>
            <wp:effectExtent l="0" t="0" r="9525" b="9525"/>
            <wp:wrapSquare wrapText="bothSides"/>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986878">
        <w:t xml:space="preserve">I 2015 er det ved NTNU </w:t>
      </w:r>
      <w:r w:rsidR="00724293">
        <w:t xml:space="preserve">totalt sett </w:t>
      </w:r>
      <w:r w:rsidR="00986878">
        <w:t>budsjet</w:t>
      </w:r>
      <w:r w:rsidR="00800626">
        <w:t>tert med en aktivitet som er nesten 7</w:t>
      </w:r>
      <w:r w:rsidR="00986878">
        <w:t xml:space="preserve"> % høyere </w:t>
      </w:r>
      <w:r w:rsidR="00724293">
        <w:t xml:space="preserve">enn faktisk aktivitet i </w:t>
      </w:r>
      <w:r w:rsidR="00986878">
        <w:t xml:space="preserve">2014. Herav har fakultetene </w:t>
      </w:r>
      <w:r w:rsidR="00800626">
        <w:t>budsjettert med en økning på 3</w:t>
      </w:r>
      <w:r w:rsidR="00986878">
        <w:t xml:space="preserve"> %.</w:t>
      </w:r>
      <w:r w:rsidR="00AC0918">
        <w:t xml:space="preserve"> </w:t>
      </w:r>
    </w:p>
    <w:p w14:paraId="18AA2F0F" w14:textId="77777777" w:rsidR="00E847BA" w:rsidRDefault="00E847BA" w:rsidP="00986878"/>
    <w:p w14:paraId="4BCA3A23" w14:textId="00119F71" w:rsidR="00E75B25" w:rsidRDefault="00986878" w:rsidP="00986878">
      <w:r>
        <w:t>Økningen i aktivitet de to siste årene var t</w:t>
      </w:r>
      <w:r w:rsidR="00800626">
        <w:t xml:space="preserve">il sammenligning henholdsvis </w:t>
      </w:r>
      <w:r w:rsidR="00724293">
        <w:t xml:space="preserve">   </w:t>
      </w:r>
      <w:r w:rsidR="00800626">
        <w:t>2 % og 4 % for NTNU og 5 % og 1</w:t>
      </w:r>
      <w:r>
        <w:t xml:space="preserve"> % for fakultetene. </w:t>
      </w:r>
      <w:r w:rsidR="008C3BA5">
        <w:t>Historisk har NTNU hatt et mindreforbruk</w:t>
      </w:r>
      <w:r w:rsidR="00E847BA">
        <w:t xml:space="preserve"> mot budsjett</w:t>
      </w:r>
      <w:r w:rsidR="008C3BA5">
        <w:t xml:space="preserve"> hvert år</w:t>
      </w:r>
      <w:r w:rsidR="00E847BA">
        <w:t xml:space="preserve">. Figur 1 viser tallstørrelsene på dette </w:t>
      </w:r>
      <w:r w:rsidR="00C278E3">
        <w:t>budsjettavviket</w:t>
      </w:r>
      <w:r w:rsidR="00E847BA">
        <w:t xml:space="preserve"> </w:t>
      </w:r>
      <w:r w:rsidR="00C278E3">
        <w:t>de senere årene</w:t>
      </w:r>
      <w:r w:rsidR="008C3BA5">
        <w:t xml:space="preserve">. </w:t>
      </w:r>
      <w:r w:rsidR="00C278E3">
        <w:t xml:space="preserve">Det vil være en risiko for positive budsjettavvik også i 2015, men dette </w:t>
      </w:r>
      <w:r w:rsidR="002857DA">
        <w:t xml:space="preserve">vil </w:t>
      </w:r>
      <w:r w:rsidR="00EB7558">
        <w:t xml:space="preserve">i så fall håndteres i </w:t>
      </w:r>
      <w:r w:rsidR="002857DA">
        <w:t>langtidsbudsjett</w:t>
      </w:r>
      <w:r w:rsidR="00EB7558">
        <w:t>et</w:t>
      </w:r>
      <w:r w:rsidR="00AA0432">
        <w:t xml:space="preserve"> gjennom et økt kostnadsnivå de kommende år. </w:t>
      </w:r>
      <w:r>
        <w:t xml:space="preserve">Omfordeling av bevilgning vil </w:t>
      </w:r>
      <w:r w:rsidR="002857DA">
        <w:t xml:space="preserve">likevel </w:t>
      </w:r>
      <w:r>
        <w:t xml:space="preserve">bli vurdert dersom </w:t>
      </w:r>
      <w:r w:rsidR="00E75B25">
        <w:t>ubrukte bevilgninger</w:t>
      </w:r>
      <w:r>
        <w:t xml:space="preserve"> </w:t>
      </w:r>
      <w:r w:rsidR="002857DA">
        <w:t>hos fakultetene blir for høye ved utgangen av 2015</w:t>
      </w:r>
      <w:r w:rsidR="002857DA">
        <w:rPr>
          <w:noProof/>
        </w:rPr>
        <w:t xml:space="preserve">. </w:t>
      </w:r>
    </w:p>
    <w:p w14:paraId="28252EE7" w14:textId="77777777" w:rsidR="003A2EC0" w:rsidRDefault="003A2EC0" w:rsidP="00986878"/>
    <w:p w14:paraId="4D53CA06" w14:textId="77777777" w:rsidR="009F0C81" w:rsidRPr="00986878" w:rsidRDefault="009F0C81" w:rsidP="00986878"/>
    <w:p w14:paraId="6403FB61" w14:textId="77777777" w:rsidR="00445EBD" w:rsidRPr="00995CFA" w:rsidRDefault="00445EBD" w:rsidP="00445EBD">
      <w:pPr>
        <w:pStyle w:val="Overskrift2"/>
        <w:ind w:firstLine="709"/>
        <w:rPr>
          <w:rFonts w:eastAsia="Calibri"/>
        </w:rPr>
      </w:pPr>
      <w:r>
        <w:rPr>
          <w:rFonts w:eastAsia="Calibri"/>
        </w:rPr>
        <w:t>2</w:t>
      </w:r>
      <w:r w:rsidRPr="00995CFA">
        <w:rPr>
          <w:rFonts w:eastAsia="Calibri"/>
        </w:rPr>
        <w:t>.</w:t>
      </w:r>
      <w:r>
        <w:rPr>
          <w:rFonts w:eastAsia="Calibri"/>
        </w:rPr>
        <w:t>2</w:t>
      </w:r>
      <w:r w:rsidRPr="00995CFA">
        <w:rPr>
          <w:rFonts w:eastAsia="Calibri"/>
        </w:rPr>
        <w:t xml:space="preserve"> Langtidsbudsjett 2015-2018</w:t>
      </w:r>
    </w:p>
    <w:p w14:paraId="07CF959A" w14:textId="77777777" w:rsidR="00445EBD" w:rsidRPr="00995CFA" w:rsidRDefault="00445EBD" w:rsidP="00445EBD">
      <w:pPr>
        <w:rPr>
          <w:rFonts w:eastAsia="Calibri"/>
          <w:sz w:val="22"/>
          <w:szCs w:val="22"/>
        </w:rPr>
      </w:pPr>
    </w:p>
    <w:p w14:paraId="45A2630A" w14:textId="00B087E7" w:rsidR="00674239" w:rsidRDefault="00445EBD" w:rsidP="00445EBD">
      <w:r w:rsidRPr="00FD1F51">
        <w:t>Langtidsbudsjettet ble sist lagt frem for styret i forbindelse med 2. tertial 2014. Enhetene hadde da tilpasset langtidsbudsjettet etter føringene om en økonomi i balanse, samt tatt høyde for synliggjøring av bidrag til de strategiske hovedprioriteringene ved NTNU. Ubrukte bevilgninger i perioden lå på et gjennom</w:t>
      </w:r>
      <w:r w:rsidR="00724293">
        <w:t>snitt på ca. 245 mill. kr, noe som</w:t>
      </w:r>
      <w:r w:rsidRPr="00FD1F51">
        <w:t xml:space="preserve"> utgjør om lag 6 % av bevilgningen fra departementet og er innenfor det </w:t>
      </w:r>
      <w:r>
        <w:t>akseptable</w:t>
      </w:r>
      <w:r w:rsidRPr="00FD1F51">
        <w:t xml:space="preserve"> nivået. </w:t>
      </w:r>
      <w:r w:rsidR="008E3BFE">
        <w:t>Det</w:t>
      </w:r>
      <w:r w:rsidRPr="00FD1F51">
        <w:t xml:space="preserve"> oppdaterte langtidsbu</w:t>
      </w:r>
      <w:r w:rsidR="00674239">
        <w:t xml:space="preserve">dsjett </w:t>
      </w:r>
      <w:r w:rsidR="00724293">
        <w:t xml:space="preserve">pr januar 2015 </w:t>
      </w:r>
      <w:r w:rsidR="00674239">
        <w:t>viser</w:t>
      </w:r>
      <w:r w:rsidR="00724293">
        <w:t xml:space="preserve"> i hovedsak det samme bildet. </w:t>
      </w:r>
    </w:p>
    <w:p w14:paraId="3321704B" w14:textId="77777777" w:rsidR="00674239" w:rsidRDefault="00674239" w:rsidP="00445EBD"/>
    <w:p w14:paraId="70D7AFAE" w14:textId="7101F5A2" w:rsidR="00E244EA" w:rsidRDefault="00445EBD" w:rsidP="00445EBD">
      <w:r w:rsidRPr="00FD1F51">
        <w:t>I perioden vil NTNU gjennomføre</w:t>
      </w:r>
      <w:r w:rsidR="00210942">
        <w:t xml:space="preserve"> store</w:t>
      </w:r>
      <w:r w:rsidRPr="00FD1F51">
        <w:t xml:space="preserve"> invester</w:t>
      </w:r>
      <w:r w:rsidR="00021B5F">
        <w:t>inger forbundet med ESFRI</w:t>
      </w:r>
      <w:r w:rsidRPr="00FD1F51">
        <w:t xml:space="preserve">, samt </w:t>
      </w:r>
      <w:r w:rsidR="00021B5F">
        <w:t>rehabilitering av Kjemiblokk 3</w:t>
      </w:r>
      <w:r w:rsidRPr="00FD1F51">
        <w:t>, Kjemihall</w:t>
      </w:r>
      <w:r w:rsidR="00210942">
        <w:t>, Berg-bygget og MR-senteret. H</w:t>
      </w:r>
      <w:r w:rsidR="00956743">
        <w:t xml:space="preserve">er </w:t>
      </w:r>
      <w:r w:rsidR="00724293">
        <w:t>planlegges</w:t>
      </w:r>
      <w:r w:rsidR="00956743">
        <w:t xml:space="preserve"> det et aktivitetsnivå utover bevilgning i </w:t>
      </w:r>
      <w:r w:rsidR="00210942">
        <w:t xml:space="preserve">2015 og 2016, </w:t>
      </w:r>
      <w:r w:rsidR="00E244EA">
        <w:t xml:space="preserve">med et tilhørende mindreforbruk i 2017 og 2018. </w:t>
      </w:r>
      <w:r w:rsidR="008E3BFE">
        <w:t>F</w:t>
      </w:r>
      <w:r w:rsidRPr="00FD1F51">
        <w:t xml:space="preserve">akultetene </w:t>
      </w:r>
      <w:r w:rsidR="008E3BFE">
        <w:t>legger</w:t>
      </w:r>
      <w:r w:rsidR="00E218E7">
        <w:t xml:space="preserve"> også opp til en nedbygging av avsetninger (negativt resultat) </w:t>
      </w:r>
      <w:r w:rsidR="008C6DCC">
        <w:t xml:space="preserve">i </w:t>
      </w:r>
      <w:r w:rsidR="00AE1307">
        <w:t>2015</w:t>
      </w:r>
      <w:r w:rsidR="00E218E7">
        <w:t xml:space="preserve"> og </w:t>
      </w:r>
      <w:r w:rsidR="00E244EA">
        <w:t>2016</w:t>
      </w:r>
      <w:r w:rsidR="00AE1307">
        <w:rPr>
          <w:rStyle w:val="Merknadsreferanse"/>
        </w:rPr>
        <w:t>,</w:t>
      </w:r>
      <w:r w:rsidR="00AE1307">
        <w:rPr>
          <w:rStyle w:val="Merknadsreferanse"/>
          <w:sz w:val="24"/>
          <w:szCs w:val="24"/>
        </w:rPr>
        <w:t xml:space="preserve"> men</w:t>
      </w:r>
      <w:r w:rsidR="00B36A7E">
        <w:rPr>
          <w:rStyle w:val="Merknadsreferanse"/>
          <w:sz w:val="24"/>
          <w:szCs w:val="24"/>
        </w:rPr>
        <w:t>s</w:t>
      </w:r>
      <w:r w:rsidR="00AE1307">
        <w:rPr>
          <w:rStyle w:val="Merknadsreferanse"/>
          <w:sz w:val="24"/>
          <w:szCs w:val="24"/>
        </w:rPr>
        <w:t xml:space="preserve"> </w:t>
      </w:r>
      <w:r w:rsidR="00674239">
        <w:t>kostnadsnivå</w:t>
      </w:r>
      <w:r w:rsidR="00724293">
        <w:t>et</w:t>
      </w:r>
      <w:r w:rsidR="00674239">
        <w:t xml:space="preserve"> </w:t>
      </w:r>
      <w:r w:rsidR="00B36A7E">
        <w:t xml:space="preserve">balanseres mot inntektsnivå </w:t>
      </w:r>
      <w:r w:rsidR="00674239">
        <w:t xml:space="preserve">i 2017 og 2018. </w:t>
      </w:r>
    </w:p>
    <w:p w14:paraId="283F49C7" w14:textId="77777777" w:rsidR="00E244EA" w:rsidRDefault="00E244EA" w:rsidP="00445EBD"/>
    <w:p w14:paraId="49BA75BF" w14:textId="77777777" w:rsidR="009E35FD" w:rsidRDefault="009E35FD" w:rsidP="00FD1F51"/>
    <w:p w14:paraId="1143FAD4" w14:textId="77777777" w:rsidR="009E35FD" w:rsidRDefault="009E35FD" w:rsidP="00FD1F51"/>
    <w:p w14:paraId="77FA53B4" w14:textId="77777777" w:rsidR="009E35FD" w:rsidRDefault="009E35FD" w:rsidP="00FD1F51"/>
    <w:p w14:paraId="596A2589" w14:textId="77777777" w:rsidR="009E35FD" w:rsidRDefault="009E35FD" w:rsidP="00FD1F51"/>
    <w:p w14:paraId="15156C0A" w14:textId="73393BC3" w:rsidR="00374A72" w:rsidRPr="00FD1F51" w:rsidRDefault="00374A72" w:rsidP="00FD1F51">
      <w:r w:rsidRPr="00FD1F51">
        <w:t>Figuren under viser utviklingen i ubrukte bevilgninger slik den nå ligger i budsjettene.</w:t>
      </w:r>
    </w:p>
    <w:p w14:paraId="71DE739A" w14:textId="77777777" w:rsidR="00374A72" w:rsidRPr="00995CFA" w:rsidRDefault="00374A72" w:rsidP="00374A72">
      <w:pPr>
        <w:pStyle w:val="NormalWeb"/>
        <w:spacing w:before="0" w:beforeAutospacing="0" w:after="0" w:afterAutospacing="0"/>
        <w:rPr>
          <w:sz w:val="22"/>
          <w:szCs w:val="22"/>
        </w:rPr>
      </w:pPr>
    </w:p>
    <w:p w14:paraId="7E05CF15" w14:textId="77777777" w:rsidR="00374A72" w:rsidRPr="00995CFA" w:rsidRDefault="00B01130" w:rsidP="00374A72">
      <w:pPr>
        <w:pStyle w:val="NormalWeb"/>
        <w:spacing w:before="0" w:beforeAutospacing="0" w:after="0" w:afterAutospacing="0"/>
        <w:rPr>
          <w:sz w:val="22"/>
          <w:szCs w:val="22"/>
        </w:rPr>
      </w:pPr>
      <w:r>
        <w:rPr>
          <w:noProof/>
        </w:rPr>
        <w:drawing>
          <wp:inline distT="0" distB="0" distL="0" distR="0" wp14:anchorId="0C006424" wp14:editId="060E6943">
            <wp:extent cx="5600065" cy="3095625"/>
            <wp:effectExtent l="0" t="0" r="635" b="9525"/>
            <wp:docPr id="2"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FE64773" w14:textId="77777777" w:rsidR="00374A72" w:rsidRPr="00AF7FDD" w:rsidRDefault="00374A72" w:rsidP="00374A72">
      <w:pPr>
        <w:pStyle w:val="NormalWeb"/>
        <w:spacing w:before="0" w:beforeAutospacing="0" w:after="0" w:afterAutospacing="0"/>
        <w:rPr>
          <w:i/>
          <w:sz w:val="18"/>
          <w:szCs w:val="18"/>
        </w:rPr>
      </w:pPr>
      <w:r w:rsidRPr="00AF7FDD">
        <w:rPr>
          <w:i/>
        </w:rPr>
        <w:t> </w:t>
      </w:r>
      <w:r w:rsidR="007A03EC">
        <w:rPr>
          <w:i/>
          <w:iCs/>
          <w:sz w:val="18"/>
          <w:szCs w:val="18"/>
        </w:rPr>
        <w:t>Figur</w:t>
      </w:r>
      <w:r w:rsidR="000F6664">
        <w:rPr>
          <w:i/>
          <w:iCs/>
          <w:sz w:val="18"/>
          <w:szCs w:val="18"/>
        </w:rPr>
        <w:t xml:space="preserve"> </w:t>
      </w:r>
      <w:r w:rsidR="007A03EC">
        <w:rPr>
          <w:i/>
          <w:iCs/>
          <w:sz w:val="18"/>
          <w:szCs w:val="18"/>
        </w:rPr>
        <w:t xml:space="preserve">2: </w:t>
      </w:r>
      <w:r w:rsidRPr="00AF7FDD">
        <w:rPr>
          <w:i/>
          <w:iCs/>
          <w:sz w:val="18"/>
          <w:szCs w:val="18"/>
        </w:rPr>
        <w:t>Oversikt over ubrukte bevilgninger i langtidsperioden</w:t>
      </w:r>
    </w:p>
    <w:p w14:paraId="004FD322" w14:textId="77777777" w:rsidR="00CB07B1" w:rsidRDefault="00CB07B1" w:rsidP="00CB07B1"/>
    <w:p w14:paraId="1163765A" w14:textId="77777777" w:rsidR="00482D4F" w:rsidRPr="00F70789" w:rsidRDefault="00482D4F" w:rsidP="00482D4F">
      <w:pPr>
        <w:pStyle w:val="Overskrift1"/>
        <w:numPr>
          <w:ilvl w:val="0"/>
          <w:numId w:val="1"/>
        </w:numPr>
        <w:rPr>
          <w:sz w:val="28"/>
          <w:szCs w:val="28"/>
          <w:u w:val="none"/>
        </w:rPr>
      </w:pPr>
      <w:r w:rsidRPr="00F70789">
        <w:rPr>
          <w:sz w:val="28"/>
          <w:szCs w:val="28"/>
          <w:u w:val="none"/>
        </w:rPr>
        <w:t>Bidrags- og oppdragsfinansiert aktivitet (BOA) 2014</w:t>
      </w:r>
    </w:p>
    <w:p w14:paraId="2FC01A9D" w14:textId="77777777" w:rsidR="00482D4F" w:rsidRPr="00F70789" w:rsidRDefault="00482D4F" w:rsidP="00482D4F">
      <w:pPr>
        <w:rPr>
          <w:color w:val="0070C0"/>
        </w:rPr>
      </w:pPr>
    </w:p>
    <w:p w14:paraId="77C9B88D" w14:textId="77777777" w:rsidR="00482D4F" w:rsidRPr="00F70789" w:rsidRDefault="00482D4F" w:rsidP="00482D4F">
      <w:r w:rsidRPr="00F70789">
        <w:t>Prosjekter eller aktiviteter som ikke er fullfinansiert over NTNUs grunnbevilgning fra KD defineres som enten bidrags- eller oppdragsfinansiert aktivitet. Med bidragsfinansiert aktivitet menes prosjekter hvor NTNU henter støtte fra nasjonale og internasjonale finansieringskilder, uten krav til leveranser (uten motytelse) ved avtale/kontraktsinngåelse. Med oppdragsfinansiert aktivitet menes prosjekter NTNU utfører mot vederlag (betaling) fra ekstern(e) oppdragsgiver(e), og med krav til leveranser ved avtale/ kontraktsinngåelse.</w:t>
      </w:r>
    </w:p>
    <w:p w14:paraId="10BA027F" w14:textId="77777777" w:rsidR="00482D4F" w:rsidRPr="00F70789" w:rsidRDefault="00482D4F" w:rsidP="00482D4F"/>
    <w:p w14:paraId="4AFE6C9F" w14:textId="77777777" w:rsidR="00482D4F" w:rsidRPr="00F70789" w:rsidRDefault="00482D4F" w:rsidP="00482D4F">
      <w:r w:rsidRPr="00F70789">
        <w:t xml:space="preserve">Totalregnskapsføring av all bidrags- og oppdragsfinansiert aktivitet (BOA) er implementert ved NTNU. Dette innebærer at NTNUs bidragsprosjekter skal ha regnskap med alle direkte og indirekte kostnader inkludert NTNUs egenandel. </w:t>
      </w:r>
    </w:p>
    <w:p w14:paraId="1D99E93B" w14:textId="77777777" w:rsidR="00482D4F" w:rsidRPr="00F70789" w:rsidRDefault="00482D4F" w:rsidP="00482D4F"/>
    <w:p w14:paraId="34952B44" w14:textId="77777777" w:rsidR="00482D4F" w:rsidRPr="00F70789" w:rsidRDefault="00482D4F" w:rsidP="00482D4F">
      <w:r w:rsidRPr="00F70789">
        <w:t>Norges Forskningsråd (NFR) er største finansieringskilde i NTNUs bidragsfinansierte forskning. De andre store finansieringskildene er næringslivet, EU og andre offentlige aktører i Norge. Oppdrags</w:t>
      </w:r>
      <w:r w:rsidRPr="00F70789">
        <w:softHyphen/>
        <w:t xml:space="preserve">porteføljen består i stor grad av samarbeid </w:t>
      </w:r>
      <w:r w:rsidR="00C80AE4">
        <w:t>med</w:t>
      </w:r>
      <w:r w:rsidRPr="00F70789">
        <w:t xml:space="preserve"> næringslivet. </w:t>
      </w:r>
    </w:p>
    <w:p w14:paraId="59A99755" w14:textId="77777777" w:rsidR="00482D4F" w:rsidRPr="00F70789" w:rsidRDefault="00482D4F" w:rsidP="00482D4F"/>
    <w:p w14:paraId="5A1F8A98" w14:textId="77777777" w:rsidR="00482D4F" w:rsidRDefault="00482D4F" w:rsidP="00482D4F">
      <w:pPr>
        <w:rPr>
          <w:lang w:val="nn-NO"/>
        </w:rPr>
      </w:pPr>
      <w:r w:rsidRPr="00F70789">
        <w:t>Den eksternfinansierte virksomheten er viktig for NTNU, da det gir et grunnlag for større fagmiljøer og mer forskning, og gjennom det bidrar til at NTNU kan nå sine strategiske mål</w:t>
      </w:r>
      <w:r w:rsidRPr="00F70789">
        <w:rPr>
          <w:color w:val="0070C0"/>
        </w:rPr>
        <w:t xml:space="preserve">. </w:t>
      </w:r>
      <w:r w:rsidRPr="00F70789">
        <w:t xml:space="preserve">Inntekter fra den eksternfinansierte virksomheten har de senere årene utgjort totalt </w:t>
      </w:r>
      <w:r w:rsidRPr="00444295">
        <w:t xml:space="preserve">ca. </w:t>
      </w:r>
      <w:r w:rsidRPr="00444295">
        <w:rPr>
          <w:lang w:val="nn-NO"/>
        </w:rPr>
        <w:t xml:space="preserve">¼ av NTNUs </w:t>
      </w:r>
      <w:r w:rsidRPr="00F70789">
        <w:rPr>
          <w:lang w:val="nn-NO"/>
        </w:rPr>
        <w:t xml:space="preserve">driftsinntekter, dvs. </w:t>
      </w:r>
      <w:r>
        <w:rPr>
          <w:lang w:val="nn-NO"/>
        </w:rPr>
        <w:t>drøyt</w:t>
      </w:r>
      <w:r w:rsidRPr="00F70789">
        <w:rPr>
          <w:lang w:val="nn-NO"/>
        </w:rPr>
        <w:t xml:space="preserve"> 1,5 mrd. kr i 201</w:t>
      </w:r>
      <w:r>
        <w:rPr>
          <w:lang w:val="nn-NO"/>
        </w:rPr>
        <w:t>4</w:t>
      </w:r>
      <w:r w:rsidRPr="00F70789">
        <w:rPr>
          <w:lang w:val="nn-NO"/>
        </w:rPr>
        <w:t xml:space="preserve">. </w:t>
      </w:r>
    </w:p>
    <w:p w14:paraId="75B6A80A" w14:textId="77777777" w:rsidR="00E218E7" w:rsidRDefault="00E218E7" w:rsidP="00482D4F">
      <w:pPr>
        <w:rPr>
          <w:lang w:val="nn-NO"/>
        </w:rPr>
      </w:pPr>
    </w:p>
    <w:p w14:paraId="7B597FBD" w14:textId="77777777" w:rsidR="00E218E7" w:rsidRDefault="00E218E7" w:rsidP="00482D4F">
      <w:pPr>
        <w:rPr>
          <w:lang w:val="nn-NO"/>
        </w:rPr>
      </w:pPr>
    </w:p>
    <w:p w14:paraId="33867C75" w14:textId="77777777" w:rsidR="00E218E7" w:rsidRPr="00F70789" w:rsidRDefault="00E218E7" w:rsidP="00482D4F">
      <w:pPr>
        <w:rPr>
          <w:lang w:val="nn-NO"/>
        </w:rPr>
      </w:pPr>
    </w:p>
    <w:p w14:paraId="0714C695" w14:textId="77777777" w:rsidR="00482D4F" w:rsidRPr="00F70789" w:rsidRDefault="00482D4F" w:rsidP="00482D4F">
      <w:pPr>
        <w:rPr>
          <w:color w:val="0070C0"/>
          <w:lang w:val="nn-NO"/>
        </w:rPr>
      </w:pPr>
    </w:p>
    <w:p w14:paraId="4313020B" w14:textId="77777777" w:rsidR="00482D4F" w:rsidRPr="00F70789" w:rsidRDefault="00482D4F" w:rsidP="00482D4F">
      <w:pPr>
        <w:pStyle w:val="Overskrift2"/>
        <w:numPr>
          <w:ilvl w:val="1"/>
          <w:numId w:val="1"/>
        </w:numPr>
        <w:spacing w:before="120" w:after="120"/>
        <w:ind w:left="283" w:firstLine="0"/>
        <w:rPr>
          <w:rFonts w:eastAsia="Calibri"/>
          <w:lang w:eastAsia="en-US"/>
        </w:rPr>
      </w:pPr>
      <w:r w:rsidRPr="00F70789">
        <w:rPr>
          <w:rFonts w:eastAsia="Calibri"/>
          <w:lang w:eastAsia="en-US"/>
        </w:rPr>
        <w:t xml:space="preserve">Utvikling total BOA-aktivitet </w:t>
      </w:r>
    </w:p>
    <w:p w14:paraId="4B423783" w14:textId="77777777" w:rsidR="00482D4F" w:rsidRPr="00F70789" w:rsidRDefault="00482D4F" w:rsidP="00482D4F">
      <w:pPr>
        <w:rPr>
          <w:rFonts w:eastAsia="Calibri"/>
          <w:color w:val="0070C0"/>
          <w:lang w:eastAsia="en-US"/>
        </w:rPr>
      </w:pPr>
    </w:p>
    <w:p w14:paraId="46587C6C" w14:textId="77777777" w:rsidR="00482D4F" w:rsidRPr="00D94708" w:rsidRDefault="00482D4F" w:rsidP="00482D4F">
      <w:pPr>
        <w:rPr>
          <w:rFonts w:eastAsia="Calibri"/>
          <w:lang w:eastAsia="en-US"/>
        </w:rPr>
      </w:pPr>
      <w:r w:rsidRPr="00D94708">
        <w:rPr>
          <w:rFonts w:eastAsia="Calibri"/>
          <w:lang w:eastAsia="en-US"/>
        </w:rPr>
        <w:t>Total BOA-aktivitet i 2014 endte på 1520 mill.kr, en nominell vekst på 2,5% fra 2013</w:t>
      </w:r>
      <w:r>
        <w:rPr>
          <w:rFonts w:eastAsia="Calibri"/>
          <w:lang w:eastAsia="en-US"/>
        </w:rPr>
        <w:t xml:space="preserve">, noe som tilsier en realnedgang på anslagsvis 0,5%. </w:t>
      </w:r>
      <w:r w:rsidRPr="00D94708">
        <w:rPr>
          <w:rFonts w:eastAsia="Calibri"/>
          <w:lang w:eastAsia="en-US"/>
        </w:rPr>
        <w:t xml:space="preserve">Prognosen etter 2.tertial </w:t>
      </w:r>
      <w:r>
        <w:rPr>
          <w:rFonts w:eastAsia="Calibri"/>
          <w:lang w:eastAsia="en-US"/>
        </w:rPr>
        <w:t>var</w:t>
      </w:r>
      <w:r w:rsidRPr="00D94708">
        <w:rPr>
          <w:rFonts w:eastAsia="Calibri"/>
          <w:lang w:eastAsia="en-US"/>
        </w:rPr>
        <w:t xml:space="preserve"> en forventning om en aktivitet i 2014 i spennet 1520-1570 mill.kr</w:t>
      </w:r>
      <w:r w:rsidR="000F6664">
        <w:rPr>
          <w:rFonts w:eastAsia="Calibri"/>
          <w:lang w:eastAsia="en-US"/>
        </w:rPr>
        <w:t>. Endelig resultat</w:t>
      </w:r>
      <w:r w:rsidRPr="00D94708">
        <w:rPr>
          <w:rFonts w:eastAsia="Calibri"/>
          <w:lang w:eastAsia="en-US"/>
        </w:rPr>
        <w:t xml:space="preserve"> ble dermed </w:t>
      </w:r>
      <w:r>
        <w:rPr>
          <w:rFonts w:eastAsia="Calibri"/>
          <w:lang w:eastAsia="en-US"/>
        </w:rPr>
        <w:t xml:space="preserve">i </w:t>
      </w:r>
      <w:r w:rsidRPr="00D94708">
        <w:rPr>
          <w:rFonts w:eastAsia="Calibri"/>
          <w:lang w:eastAsia="en-US"/>
        </w:rPr>
        <w:t>nedre sjikt av det som va</w:t>
      </w:r>
      <w:r w:rsidR="000F6664">
        <w:rPr>
          <w:rFonts w:eastAsia="Calibri"/>
          <w:lang w:eastAsia="en-US"/>
        </w:rPr>
        <w:t>r forventet</w:t>
      </w:r>
      <w:r w:rsidRPr="00D94708">
        <w:rPr>
          <w:rFonts w:eastAsia="Calibri"/>
          <w:lang w:eastAsia="en-US"/>
        </w:rPr>
        <w:t xml:space="preserve">. </w:t>
      </w:r>
    </w:p>
    <w:p w14:paraId="4BAA2149" w14:textId="77777777" w:rsidR="00482D4F" w:rsidRDefault="00482D4F" w:rsidP="00482D4F"/>
    <w:p w14:paraId="58CBD67E" w14:textId="77777777" w:rsidR="00482D4F" w:rsidRDefault="00482D4F" w:rsidP="00482D4F">
      <w:r w:rsidRPr="00D94708">
        <w:rPr>
          <w:rFonts w:eastAsia="Calibri"/>
          <w:lang w:eastAsia="en-US"/>
        </w:rPr>
        <w:t xml:space="preserve">BOA-aktiviteten har de senere årene hatt en relativt stabil utvikling, med en årlig omsetningsvekst tilnærmet lik pris- og lønnsveksten. </w:t>
      </w:r>
      <w:r w:rsidR="000F6664">
        <w:t xml:space="preserve">Figur 3 </w:t>
      </w:r>
      <w:r w:rsidRPr="00D94708">
        <w:t>viser henholdsvis realutvikling (utvikling i 2014-kr) og nominell utvikling for BOA-aktivitet</w:t>
      </w:r>
      <w:r>
        <w:t>en</w:t>
      </w:r>
      <w:r w:rsidRPr="00D94708">
        <w:t xml:space="preserve"> de siste fem årene. </w:t>
      </w:r>
    </w:p>
    <w:p w14:paraId="1EF08BF9" w14:textId="77777777" w:rsidR="009F734C" w:rsidRDefault="009F734C" w:rsidP="00482D4F"/>
    <w:p w14:paraId="0D368E07" w14:textId="77777777" w:rsidR="00482D4F" w:rsidRPr="00D94708" w:rsidRDefault="00482D4F" w:rsidP="00482D4F"/>
    <w:p w14:paraId="00F3495C" w14:textId="77777777" w:rsidR="00482D4F" w:rsidRDefault="00482D4F" w:rsidP="00482D4F">
      <w:r>
        <w:rPr>
          <w:noProof/>
        </w:rPr>
        <w:drawing>
          <wp:inline distT="0" distB="0" distL="0" distR="0" wp14:anchorId="71E8DAF2" wp14:editId="0D246B2E">
            <wp:extent cx="5048250" cy="2736215"/>
            <wp:effectExtent l="0" t="0" r="0" b="6985"/>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520559" w14:textId="77777777" w:rsidR="00482D4F" w:rsidRPr="00782AA0" w:rsidRDefault="00482D4F" w:rsidP="00482D4F">
      <w:pPr>
        <w:rPr>
          <w:i/>
          <w:sz w:val="20"/>
        </w:rPr>
      </w:pPr>
      <w:r w:rsidRPr="00782AA0">
        <w:rPr>
          <w:i/>
          <w:sz w:val="20"/>
        </w:rPr>
        <w:t xml:space="preserve">Figur 3: Utvikling av total BOA aktivitet siste 5år </w:t>
      </w:r>
    </w:p>
    <w:p w14:paraId="35A3E048" w14:textId="77777777" w:rsidR="00482D4F" w:rsidRDefault="00482D4F" w:rsidP="00482D4F"/>
    <w:p w14:paraId="6ADFEAEE" w14:textId="77777777" w:rsidR="00482D4F" w:rsidRDefault="00482D4F" w:rsidP="00482D4F">
      <w:r w:rsidRPr="00D94708">
        <w:t xml:space="preserve">Utvikling innenfor de ulike BOA-kategoriene; NFR, EU, annen bidragsaktivitet og oppdragsaktivitet, vil utdypes og forklares i de påfølgende avsnitt. </w:t>
      </w:r>
    </w:p>
    <w:p w14:paraId="2B449A9B" w14:textId="77777777" w:rsidR="00482D4F" w:rsidRDefault="00482D4F" w:rsidP="00482D4F">
      <w:pPr>
        <w:rPr>
          <w:rFonts w:eastAsia="Calibri"/>
          <w:lang w:eastAsia="en-US"/>
        </w:rPr>
      </w:pPr>
    </w:p>
    <w:p w14:paraId="01EC06C0" w14:textId="77777777" w:rsidR="00264A51" w:rsidRPr="00A4204D" w:rsidRDefault="00264A51" w:rsidP="00482D4F">
      <w:pPr>
        <w:rPr>
          <w:rFonts w:eastAsia="Calibri"/>
          <w:lang w:eastAsia="en-US"/>
        </w:rPr>
      </w:pPr>
    </w:p>
    <w:p w14:paraId="56CBB071" w14:textId="77777777" w:rsidR="00482D4F" w:rsidRDefault="00482D4F" w:rsidP="00482D4F">
      <w:pPr>
        <w:pStyle w:val="Overskrift2"/>
        <w:numPr>
          <w:ilvl w:val="1"/>
          <w:numId w:val="1"/>
        </w:numPr>
        <w:spacing w:before="120" w:after="120"/>
        <w:ind w:left="283" w:firstLine="0"/>
        <w:rPr>
          <w:rFonts w:eastAsia="Calibri"/>
          <w:lang w:eastAsia="en-US"/>
        </w:rPr>
      </w:pPr>
      <w:r w:rsidRPr="00D94708">
        <w:rPr>
          <w:rFonts w:eastAsia="Calibri"/>
          <w:lang w:eastAsia="en-US"/>
        </w:rPr>
        <w:t>NFR-finansiert aktivitet</w:t>
      </w:r>
    </w:p>
    <w:p w14:paraId="5F3CBDD6" w14:textId="77777777" w:rsidR="00482D4F" w:rsidRDefault="00482D4F" w:rsidP="00482D4F">
      <w:pPr>
        <w:rPr>
          <w:rFonts w:eastAsia="Calibri"/>
          <w:lang w:eastAsia="en-US"/>
        </w:rPr>
      </w:pPr>
    </w:p>
    <w:p w14:paraId="384BA2F8" w14:textId="388586A5" w:rsidR="00482D4F" w:rsidRDefault="00482D4F" w:rsidP="00482D4F">
      <w:pPr>
        <w:rPr>
          <w:rFonts w:eastAsia="Calibri"/>
          <w:lang w:eastAsia="en-US"/>
        </w:rPr>
      </w:pPr>
      <w:r w:rsidRPr="00782AA0">
        <w:rPr>
          <w:rFonts w:eastAsia="Calibri"/>
          <w:lang w:eastAsia="en-US"/>
        </w:rPr>
        <w:t>NTNUs aktiv</w:t>
      </w:r>
      <w:r w:rsidR="006500EC">
        <w:rPr>
          <w:rFonts w:eastAsia="Calibri"/>
          <w:lang w:eastAsia="en-US"/>
        </w:rPr>
        <w:t xml:space="preserve">itet finansiert av NFR har </w:t>
      </w:r>
      <w:r w:rsidR="008F7AD3">
        <w:rPr>
          <w:rFonts w:eastAsia="Calibri"/>
          <w:lang w:eastAsia="en-US"/>
        </w:rPr>
        <w:t>de senere årene, til og med 2013, hatt en svakt negativ utvikling</w:t>
      </w:r>
      <w:r w:rsidR="00EF32C6">
        <w:rPr>
          <w:rFonts w:eastAsia="Calibri"/>
          <w:lang w:eastAsia="en-US"/>
        </w:rPr>
        <w:t xml:space="preserve">. Denne nedgangen forklares </w:t>
      </w:r>
      <w:r w:rsidR="008F7AD3">
        <w:rPr>
          <w:rFonts w:eastAsia="Calibri"/>
          <w:lang w:eastAsia="en-US"/>
        </w:rPr>
        <w:t xml:space="preserve">blant annet </w:t>
      </w:r>
      <w:r w:rsidR="00EF32C6">
        <w:rPr>
          <w:rFonts w:eastAsia="Calibri"/>
          <w:lang w:eastAsia="en-US"/>
        </w:rPr>
        <w:t xml:space="preserve">med </w:t>
      </w:r>
      <w:r w:rsidR="008F7AD3">
        <w:rPr>
          <w:rFonts w:eastAsia="Calibri"/>
          <w:lang w:eastAsia="en-US"/>
        </w:rPr>
        <w:t xml:space="preserve">utfasing av flere større </w:t>
      </w:r>
      <w:r w:rsidR="00EF32C6">
        <w:rPr>
          <w:rFonts w:eastAsia="Calibri"/>
          <w:lang w:eastAsia="en-US"/>
        </w:rPr>
        <w:t xml:space="preserve">NFR-finansierte </w:t>
      </w:r>
      <w:r w:rsidR="002C7941">
        <w:rPr>
          <w:rFonts w:eastAsia="Calibri"/>
          <w:lang w:eastAsia="en-US"/>
        </w:rPr>
        <w:t>SFF-</w:t>
      </w:r>
      <w:r w:rsidR="008F7AD3">
        <w:rPr>
          <w:rFonts w:eastAsia="Calibri"/>
          <w:lang w:eastAsia="en-US"/>
        </w:rPr>
        <w:t>senter</w:t>
      </w:r>
      <w:r w:rsidR="002C7941">
        <w:rPr>
          <w:rFonts w:eastAsia="Calibri"/>
          <w:lang w:eastAsia="en-US"/>
        </w:rPr>
        <w:t xml:space="preserve"> (Senter for fremragende forskning). </w:t>
      </w:r>
      <w:r w:rsidR="008F7AD3">
        <w:rPr>
          <w:rFonts w:eastAsia="Calibri"/>
          <w:lang w:eastAsia="en-US"/>
        </w:rPr>
        <w:t xml:space="preserve"> I 2014 </w:t>
      </w:r>
      <w:r w:rsidR="00EF32C6">
        <w:rPr>
          <w:rFonts w:eastAsia="Calibri"/>
          <w:lang w:eastAsia="en-US"/>
        </w:rPr>
        <w:t xml:space="preserve">hadde vi en </w:t>
      </w:r>
      <w:r w:rsidR="008F7AD3">
        <w:rPr>
          <w:rFonts w:eastAsia="Calibri"/>
          <w:lang w:eastAsia="en-US"/>
        </w:rPr>
        <w:t>NFR-finansiert aktivitet</w:t>
      </w:r>
      <w:r>
        <w:rPr>
          <w:rFonts w:eastAsia="Calibri"/>
          <w:lang w:eastAsia="en-US"/>
        </w:rPr>
        <w:t xml:space="preserve"> på 64</w:t>
      </w:r>
      <w:r w:rsidR="00E218E7">
        <w:rPr>
          <w:rFonts w:eastAsia="Calibri"/>
          <w:lang w:eastAsia="en-US"/>
        </w:rPr>
        <w:t>3</w:t>
      </w:r>
      <w:r>
        <w:rPr>
          <w:rFonts w:eastAsia="Calibri"/>
          <w:lang w:eastAsia="en-US"/>
        </w:rPr>
        <w:t xml:space="preserve"> mill</w:t>
      </w:r>
      <w:r w:rsidR="00036CFE">
        <w:rPr>
          <w:rFonts w:eastAsia="Calibri"/>
          <w:lang w:eastAsia="en-US"/>
        </w:rPr>
        <w:t>.</w:t>
      </w:r>
      <w:r w:rsidR="003E2350">
        <w:rPr>
          <w:rFonts w:eastAsia="Calibri"/>
          <w:lang w:eastAsia="en-US"/>
        </w:rPr>
        <w:t xml:space="preserve"> kr, noe som</w:t>
      </w:r>
      <w:r w:rsidR="00036CFE">
        <w:rPr>
          <w:rFonts w:eastAsia="Calibri"/>
          <w:lang w:eastAsia="en-US"/>
        </w:rPr>
        <w:t xml:space="preserve"> til</w:t>
      </w:r>
      <w:r w:rsidR="003E2350">
        <w:rPr>
          <w:rFonts w:eastAsia="Calibri"/>
          <w:lang w:eastAsia="en-US"/>
        </w:rPr>
        <w:t>svarer en</w:t>
      </w:r>
      <w:r w:rsidRPr="00782AA0">
        <w:rPr>
          <w:rFonts w:eastAsia="Calibri"/>
          <w:lang w:eastAsia="en-US"/>
        </w:rPr>
        <w:t xml:space="preserve"> </w:t>
      </w:r>
      <w:r w:rsidR="00036CFE">
        <w:rPr>
          <w:rFonts w:eastAsia="Calibri"/>
          <w:lang w:eastAsia="en-US"/>
        </w:rPr>
        <w:t>aktivitetsøkning på i underkant av 2% fra 2013</w:t>
      </w:r>
      <w:r w:rsidR="003E2350">
        <w:rPr>
          <w:rFonts w:eastAsia="Calibri"/>
          <w:lang w:eastAsia="en-US"/>
        </w:rPr>
        <w:t>.</w:t>
      </w:r>
      <w:r w:rsidR="00036CFE">
        <w:rPr>
          <w:rFonts w:eastAsia="Calibri"/>
          <w:lang w:eastAsia="en-US"/>
        </w:rPr>
        <w:t xml:space="preserve"> </w:t>
      </w:r>
    </w:p>
    <w:p w14:paraId="48B7D0F8" w14:textId="77777777" w:rsidR="003E2350" w:rsidRPr="00A4204D" w:rsidRDefault="003E2350" w:rsidP="00482D4F">
      <w:pPr>
        <w:rPr>
          <w:rFonts w:eastAsia="Calibri"/>
          <w:lang w:eastAsia="en-US"/>
        </w:rPr>
      </w:pPr>
    </w:p>
    <w:p w14:paraId="4ED8A1DE" w14:textId="77777777" w:rsidR="00482D4F" w:rsidRPr="00F70789" w:rsidRDefault="00482D4F" w:rsidP="00482D4F">
      <w:pPr>
        <w:rPr>
          <w:rFonts w:eastAsia="Calibri"/>
          <w:color w:val="0070C0"/>
          <w:lang w:eastAsia="en-US"/>
        </w:rPr>
      </w:pPr>
      <w:r>
        <w:rPr>
          <w:noProof/>
        </w:rPr>
        <w:drawing>
          <wp:inline distT="0" distB="0" distL="0" distR="0" wp14:anchorId="49308187" wp14:editId="64E5EC43">
            <wp:extent cx="4876800" cy="2593975"/>
            <wp:effectExtent l="0" t="0" r="0" b="15875"/>
            <wp:docPr id="22" name="Diagram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7C6B170" w14:textId="77777777" w:rsidR="00482D4F" w:rsidRDefault="005C4683" w:rsidP="00482D4F">
      <w:pPr>
        <w:rPr>
          <w:i/>
          <w:sz w:val="20"/>
        </w:rPr>
      </w:pPr>
      <w:r>
        <w:rPr>
          <w:i/>
          <w:sz w:val="20"/>
        </w:rPr>
        <w:t>Figur 4: Utvikling NFR-</w:t>
      </w:r>
      <w:r w:rsidR="00482D4F" w:rsidRPr="00782AA0">
        <w:rPr>
          <w:i/>
          <w:sz w:val="20"/>
        </w:rPr>
        <w:t>finansiert aktivitet</w:t>
      </w:r>
    </w:p>
    <w:p w14:paraId="4C921630" w14:textId="77777777" w:rsidR="00F955EA" w:rsidRDefault="00F955EA" w:rsidP="00482D4F">
      <w:pPr>
        <w:rPr>
          <w:i/>
          <w:sz w:val="20"/>
        </w:rPr>
      </w:pPr>
    </w:p>
    <w:p w14:paraId="1B6A1CFC" w14:textId="77777777" w:rsidR="00F955EA" w:rsidRPr="00F955EA" w:rsidRDefault="00F955EA" w:rsidP="00482D4F">
      <w:pPr>
        <w:rPr>
          <w:sz w:val="20"/>
        </w:rPr>
      </w:pPr>
    </w:p>
    <w:p w14:paraId="50E6B874" w14:textId="77777777" w:rsidR="00482D4F" w:rsidRDefault="00482D4F" w:rsidP="00482D4F">
      <w:pPr>
        <w:rPr>
          <w:rFonts w:eastAsia="Calibri"/>
          <w:lang w:eastAsia="en-US"/>
        </w:rPr>
      </w:pPr>
      <w:r>
        <w:rPr>
          <w:rFonts w:eastAsia="Calibri"/>
          <w:lang w:eastAsia="en-US"/>
        </w:rPr>
        <w:t>Aktivitetsøkningen fra 2013 til 2014 på NFR-finansierte prosjekter er i hovedsak knyttet til økende aktivitet på våre fire nye SFF-senter</w:t>
      </w:r>
      <w:r w:rsidR="002C7941">
        <w:rPr>
          <w:rFonts w:eastAsia="Calibri"/>
          <w:lang w:eastAsia="en-US"/>
        </w:rPr>
        <w:t xml:space="preserve">. </w:t>
      </w:r>
      <w:r>
        <w:rPr>
          <w:rFonts w:eastAsia="Calibri"/>
          <w:lang w:eastAsia="en-US"/>
        </w:rPr>
        <w:t xml:space="preserve">Disse startet opp sin aktivitet i løpet av 2013, men har hatt en økende aktivitet i 2014, og er fortsatt under opptrapping. I tillegg har det vært en økning knyttet til NFR-finansierte investeringsprosjekter ved HUNT. </w:t>
      </w:r>
    </w:p>
    <w:p w14:paraId="3E3F09DD" w14:textId="77777777" w:rsidR="00482D4F" w:rsidRDefault="00482D4F" w:rsidP="00482D4F">
      <w:pPr>
        <w:rPr>
          <w:rFonts w:eastAsia="Calibri"/>
          <w:lang w:eastAsia="en-US"/>
        </w:rPr>
      </w:pPr>
    </w:p>
    <w:p w14:paraId="136A4751" w14:textId="77777777" w:rsidR="00482D4F" w:rsidRDefault="00482D4F" w:rsidP="00482D4F">
      <w:pPr>
        <w:rPr>
          <w:rFonts w:eastAsia="Calibri"/>
          <w:lang w:eastAsia="en-US"/>
        </w:rPr>
      </w:pPr>
      <w:r>
        <w:rPr>
          <w:rFonts w:eastAsia="Calibri"/>
          <w:lang w:eastAsia="en-US"/>
        </w:rPr>
        <w:t xml:space="preserve">For de kommende årene er det en forventing om fortsatt vekst i NFR-aktiviteten. Samtidig som tre av våre SFI-senter (Senter for forskningsdrevet innovasjon) ble faset ut i 2014, fikk NTNU tildelt fem nye SFI-senter med oppstart i 2015. I tillegg </w:t>
      </w:r>
      <w:r w:rsidR="006500EC">
        <w:rPr>
          <w:rFonts w:eastAsia="Calibri"/>
          <w:lang w:eastAsia="en-US"/>
        </w:rPr>
        <w:t>er</w:t>
      </w:r>
      <w:r>
        <w:rPr>
          <w:rFonts w:eastAsia="Calibri"/>
          <w:lang w:eastAsia="en-US"/>
        </w:rPr>
        <w:t xml:space="preserve"> også NTNU </w:t>
      </w:r>
      <w:r w:rsidRPr="00CB3C51">
        <w:rPr>
          <w:rFonts w:eastAsia="Calibri"/>
          <w:lang w:eastAsia="en-US"/>
        </w:rPr>
        <w:t xml:space="preserve">partner </w:t>
      </w:r>
      <w:r>
        <w:rPr>
          <w:rFonts w:eastAsia="Calibri"/>
          <w:lang w:eastAsia="en-US"/>
        </w:rPr>
        <w:t xml:space="preserve">i ytterligere ni nye SFI-senter, hvor andre institusjoner er koordinator. </w:t>
      </w:r>
    </w:p>
    <w:p w14:paraId="6F3EB4B5" w14:textId="77777777" w:rsidR="00482D4F" w:rsidRDefault="00482D4F" w:rsidP="00482D4F">
      <w:pPr>
        <w:rPr>
          <w:rFonts w:eastAsia="Calibri"/>
          <w:lang w:eastAsia="en-US"/>
        </w:rPr>
      </w:pPr>
    </w:p>
    <w:p w14:paraId="53A76C21" w14:textId="23BEE7AF" w:rsidR="00482D4F" w:rsidRDefault="00482D4F" w:rsidP="00482D4F">
      <w:pPr>
        <w:rPr>
          <w:rFonts w:eastAsia="Calibri"/>
          <w:lang w:eastAsia="en-US"/>
        </w:rPr>
      </w:pPr>
      <w:r>
        <w:rPr>
          <w:rFonts w:eastAsia="Calibri"/>
          <w:lang w:eastAsia="en-US"/>
        </w:rPr>
        <w:t>Kavlisenteret har de senere årene fått en «grunnbevilgning» på 12,5 mill.kr fra NFR. Denne bevilgingen vil fra og med</w:t>
      </w:r>
      <w:r w:rsidR="00B36A7E">
        <w:rPr>
          <w:rFonts w:eastAsia="Calibri"/>
          <w:lang w:eastAsia="en-US"/>
        </w:rPr>
        <w:t xml:space="preserve"> 2015 omklassifiseres til </w:t>
      </w:r>
      <w:r>
        <w:rPr>
          <w:rFonts w:eastAsia="Calibri"/>
          <w:lang w:eastAsia="en-US"/>
        </w:rPr>
        <w:t>ordinær bevilgning fra KD, og dermed redusere BOA-aktiviteten</w:t>
      </w:r>
      <w:r w:rsidR="00B36A7E">
        <w:rPr>
          <w:rFonts w:eastAsia="Calibri"/>
          <w:lang w:eastAsia="en-US"/>
        </w:rPr>
        <w:t xml:space="preserve"> tilsvarende.</w:t>
      </w:r>
      <w:r>
        <w:rPr>
          <w:rFonts w:eastAsia="Calibri"/>
          <w:lang w:eastAsia="en-US"/>
        </w:rPr>
        <w:t xml:space="preserve"> </w:t>
      </w:r>
    </w:p>
    <w:p w14:paraId="58EC08E0" w14:textId="77777777" w:rsidR="00036CFE" w:rsidRDefault="00036CFE" w:rsidP="00482D4F">
      <w:pPr>
        <w:rPr>
          <w:rFonts w:eastAsia="Calibri"/>
          <w:lang w:eastAsia="en-US"/>
        </w:rPr>
      </w:pPr>
    </w:p>
    <w:p w14:paraId="721D5FE0" w14:textId="77777777" w:rsidR="00482D4F" w:rsidRDefault="00482D4F" w:rsidP="00482D4F">
      <w:pPr>
        <w:rPr>
          <w:rFonts w:eastAsia="Calibri"/>
          <w:lang w:eastAsia="en-US"/>
        </w:rPr>
      </w:pPr>
    </w:p>
    <w:p w14:paraId="6BF400CB" w14:textId="77777777" w:rsidR="00482D4F" w:rsidRPr="00444295" w:rsidRDefault="00482D4F" w:rsidP="00482D4F">
      <w:pPr>
        <w:pStyle w:val="Overskrift2"/>
        <w:numPr>
          <w:ilvl w:val="1"/>
          <w:numId w:val="1"/>
        </w:numPr>
        <w:spacing w:before="120" w:after="120"/>
        <w:ind w:left="283" w:firstLine="0"/>
        <w:rPr>
          <w:rFonts w:eastAsia="Calibri"/>
          <w:lang w:eastAsia="en-US"/>
        </w:rPr>
      </w:pPr>
      <w:r w:rsidRPr="00444295">
        <w:rPr>
          <w:rFonts w:eastAsia="Calibri"/>
          <w:lang w:eastAsia="en-US"/>
        </w:rPr>
        <w:t>EU-finansiert aktivitet</w:t>
      </w:r>
    </w:p>
    <w:p w14:paraId="0ACF65A8" w14:textId="77777777" w:rsidR="00482D4F" w:rsidRPr="00F70789" w:rsidRDefault="00482D4F" w:rsidP="00482D4F">
      <w:pPr>
        <w:rPr>
          <w:rFonts w:eastAsia="Calibri"/>
          <w:color w:val="0070C0"/>
          <w:lang w:eastAsia="en-US"/>
        </w:rPr>
      </w:pPr>
    </w:p>
    <w:p w14:paraId="517BA5E3" w14:textId="77777777" w:rsidR="00482D4F" w:rsidRPr="00F70789" w:rsidRDefault="00482D4F" w:rsidP="00482D4F">
      <w:pPr>
        <w:rPr>
          <w:rFonts w:eastAsia="Calibri"/>
          <w:color w:val="0070C0"/>
          <w:lang w:eastAsia="en-US"/>
        </w:rPr>
      </w:pPr>
      <w:r>
        <w:rPr>
          <w:noProof/>
        </w:rPr>
        <w:drawing>
          <wp:inline distT="0" distB="0" distL="0" distR="0" wp14:anchorId="63A5A679" wp14:editId="64F04B84">
            <wp:extent cx="4572000" cy="2695575"/>
            <wp:effectExtent l="0" t="0" r="0" b="9525"/>
            <wp:docPr id="23" name="Diagram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F97D6BA" w14:textId="6D894C52" w:rsidR="00482D4F" w:rsidRPr="00F55037" w:rsidRDefault="00482D4F" w:rsidP="00482D4F">
      <w:pPr>
        <w:rPr>
          <w:i/>
          <w:sz w:val="20"/>
        </w:rPr>
      </w:pPr>
      <w:r w:rsidRPr="00F55037">
        <w:rPr>
          <w:i/>
          <w:sz w:val="20"/>
        </w:rPr>
        <w:t xml:space="preserve">Figur </w:t>
      </w:r>
      <w:r w:rsidR="005C4683">
        <w:rPr>
          <w:i/>
          <w:sz w:val="20"/>
        </w:rPr>
        <w:t>5</w:t>
      </w:r>
      <w:r w:rsidRPr="00F55037">
        <w:rPr>
          <w:i/>
          <w:sz w:val="20"/>
        </w:rPr>
        <w:t xml:space="preserve">: Utvikling av EU-finansiert aktivitet siste 5år </w:t>
      </w:r>
    </w:p>
    <w:p w14:paraId="4F154834" w14:textId="77777777" w:rsidR="00482D4F" w:rsidRPr="00F70789" w:rsidRDefault="00482D4F" w:rsidP="00482D4F">
      <w:pPr>
        <w:rPr>
          <w:i/>
          <w:color w:val="0070C0"/>
        </w:rPr>
      </w:pPr>
    </w:p>
    <w:p w14:paraId="01E2DF33" w14:textId="77777777" w:rsidR="0085763E" w:rsidRDefault="0085763E" w:rsidP="0085763E">
      <w:r>
        <w:t xml:space="preserve">Den EU-finansierte aktiviteten endte på 98 mill. kr i 2014, en aktivitetsøkning på ca 47% fra i 2013. Prognose gitt etter andre tertial tilsa en forventet aktivitet på mellom 85 og 95 mill.kr, så faktisk aktivitet ble litt høyere enn forventet. Alle fakulteter (eks VM) har en vekst i sin EU-aktivitet i 2014. To fakulteter, IME og AB, har ca en dobling i EU-finansiert aktivitet sammenlignet med 2013, mens resten av fakultetene har en aktivitetsøkning på mellom 13% (DMF) og 44% (NT). Økningen kommer i stor grad som et resultat av god uttelling i siste søknadsrunde i FP7. </w:t>
      </w:r>
    </w:p>
    <w:p w14:paraId="77995275" w14:textId="77777777" w:rsidR="0085763E" w:rsidRDefault="0085763E" w:rsidP="0085763E"/>
    <w:p w14:paraId="4FFD55C8" w14:textId="77777777" w:rsidR="0085763E" w:rsidRDefault="0085763E" w:rsidP="0085763E">
      <w:r>
        <w:t xml:space="preserve">Som en av NTNUs fem hovedprioriteringer, er EUs nye rammeprogram for forskning, Horisont 2020, et satsningsområde i alle deler av organisasjonen. På sikt er det også en forhåpning og forventning om at NTNU Toppforskning og insentiver og støtteordninger for deltakelse i Horisont 2020 for øvrig, inklusive etablering av Brusselkontor vil bidra til å hente mer midler fra EU. </w:t>
      </w:r>
    </w:p>
    <w:p w14:paraId="44D0AD34" w14:textId="77777777" w:rsidR="0085763E" w:rsidRDefault="0085763E" w:rsidP="0085763E">
      <w:pPr>
        <w:rPr>
          <w:sz w:val="22"/>
          <w:szCs w:val="22"/>
        </w:rPr>
      </w:pPr>
    </w:p>
    <w:p w14:paraId="14916BAD" w14:textId="77777777" w:rsidR="0085763E" w:rsidRDefault="0085763E" w:rsidP="0085763E">
      <w:r>
        <w:t>Flere fakulteter rapporterer om god søknadsvekst mot EU i 2014, og alle fakulteter har lagt til grunn en vekst i EU-aktiviteten i sine langtidsbudsjetter. NTNU har totalt sett en ambisjon om å hente inn 1 mrd.kr gjennom Horisont 2020, som løper i årene 2014-2020.</w:t>
      </w:r>
    </w:p>
    <w:p w14:paraId="29DC7FC6" w14:textId="77777777" w:rsidR="0085763E" w:rsidRDefault="0085763E" w:rsidP="0085763E"/>
    <w:p w14:paraId="0B1EA40D" w14:textId="5429557F" w:rsidR="0085763E" w:rsidRDefault="0085763E" w:rsidP="0085763E">
      <w:r>
        <w:t>Det foreligger et forslag fra EU-kommisjonen om et kutt i budsjettet for Horisont 2020 på</w:t>
      </w:r>
      <w:r w:rsidR="00A96F79">
        <w:t xml:space="preserve"> </w:t>
      </w:r>
      <w:r>
        <w:t>2,7 milliarder euro. Dette vil i så fall medføre mindre penger å søke om for norske forskere, og at konkurransen om forskningsmidlene i EU skjerpes ytterligere. Europeiske universitets -og forskningsnettverk jobber for å hindre at kommisjonens forslag vedtas, et arbeid som også støttes av NTNU. Beslutning tas i løpet av mars 2015.  </w:t>
      </w:r>
    </w:p>
    <w:p w14:paraId="29B97079" w14:textId="77777777" w:rsidR="00482D4F" w:rsidRDefault="00482D4F" w:rsidP="00482D4F">
      <w:pPr>
        <w:rPr>
          <w:color w:val="0070C0"/>
        </w:rPr>
      </w:pPr>
    </w:p>
    <w:p w14:paraId="4A1C89C7" w14:textId="77777777" w:rsidR="00A23B0D" w:rsidRDefault="00A23B0D" w:rsidP="00482D4F">
      <w:pPr>
        <w:rPr>
          <w:color w:val="0070C0"/>
        </w:rPr>
      </w:pPr>
    </w:p>
    <w:p w14:paraId="43DE7D7F" w14:textId="77777777" w:rsidR="00482D4F" w:rsidRPr="00D7669B" w:rsidRDefault="00482D4F" w:rsidP="00482D4F">
      <w:pPr>
        <w:pStyle w:val="Overskrift2"/>
        <w:numPr>
          <w:ilvl w:val="1"/>
          <w:numId w:val="1"/>
        </w:numPr>
        <w:spacing w:before="120" w:after="120"/>
        <w:ind w:left="283" w:firstLine="0"/>
        <w:rPr>
          <w:rFonts w:eastAsia="Calibri"/>
          <w:color w:val="000000" w:themeColor="text1"/>
          <w:lang w:eastAsia="en-US"/>
        </w:rPr>
      </w:pPr>
      <w:r w:rsidRPr="00D7669B">
        <w:rPr>
          <w:rFonts w:eastAsia="Calibri"/>
          <w:color w:val="000000" w:themeColor="text1"/>
          <w:lang w:eastAsia="en-US"/>
        </w:rPr>
        <w:t>Annen bidragsfinansiert aktivitet</w:t>
      </w:r>
    </w:p>
    <w:p w14:paraId="498141AF" w14:textId="77777777" w:rsidR="00482D4F" w:rsidRPr="00F70789" w:rsidRDefault="00482D4F" w:rsidP="00482D4F">
      <w:pPr>
        <w:rPr>
          <w:rFonts w:eastAsia="Calibri"/>
          <w:color w:val="0070C0"/>
          <w:lang w:eastAsia="en-US"/>
        </w:rPr>
      </w:pPr>
    </w:p>
    <w:p w14:paraId="7EC1BA86" w14:textId="77777777" w:rsidR="00482D4F" w:rsidRPr="006F497B" w:rsidRDefault="00482D4F" w:rsidP="00482D4F">
      <w:pPr>
        <w:rPr>
          <w:color w:val="000000" w:themeColor="text1"/>
        </w:rPr>
      </w:pPr>
      <w:r w:rsidRPr="006F497B">
        <w:rPr>
          <w:color w:val="000000" w:themeColor="text1"/>
        </w:rPr>
        <w:t>Annen bidragsfinansiert aktivitet omfatter samarbeid med næringslivet, bidrag fra andre offentlige aktører (stat/fylke/kommune), SI</w:t>
      </w:r>
      <w:r>
        <w:rPr>
          <w:color w:val="000000" w:themeColor="text1"/>
        </w:rPr>
        <w:t xml:space="preserve">NTEF, </w:t>
      </w:r>
      <w:r w:rsidRPr="006F497B">
        <w:rPr>
          <w:color w:val="000000" w:themeColor="text1"/>
        </w:rPr>
        <w:t xml:space="preserve">Helse Midt-Norge, </w:t>
      </w:r>
      <w:r>
        <w:rPr>
          <w:color w:val="000000" w:themeColor="text1"/>
        </w:rPr>
        <w:t xml:space="preserve">fond/organisasjoner </w:t>
      </w:r>
      <w:r w:rsidRPr="006F497B">
        <w:rPr>
          <w:color w:val="000000" w:themeColor="text1"/>
        </w:rPr>
        <w:t>samt kurs-</w:t>
      </w:r>
      <w:r>
        <w:rPr>
          <w:color w:val="000000" w:themeColor="text1"/>
        </w:rPr>
        <w:t xml:space="preserve"> og konferanseaktivitet </w:t>
      </w:r>
    </w:p>
    <w:p w14:paraId="691DB2B8" w14:textId="77777777" w:rsidR="00482D4F" w:rsidRPr="006F497B" w:rsidRDefault="00482D4F" w:rsidP="00482D4F">
      <w:pPr>
        <w:rPr>
          <w:color w:val="000000" w:themeColor="text1"/>
        </w:rPr>
      </w:pPr>
    </w:p>
    <w:p w14:paraId="335E296A" w14:textId="77777777" w:rsidR="00482D4F" w:rsidRDefault="00482D4F" w:rsidP="00482D4F">
      <w:pPr>
        <w:rPr>
          <w:color w:val="000000" w:themeColor="text1"/>
        </w:rPr>
      </w:pPr>
      <w:r w:rsidRPr="006F497B">
        <w:rPr>
          <w:color w:val="000000" w:themeColor="text1"/>
        </w:rPr>
        <w:t>Vi ser i 2014 en reduksjon i denne type aktivitet, sammenlignet med 2013</w:t>
      </w:r>
      <w:r>
        <w:rPr>
          <w:color w:val="000000" w:themeColor="text1"/>
        </w:rPr>
        <w:t>,</w:t>
      </w:r>
      <w:r w:rsidRPr="006F497B">
        <w:rPr>
          <w:color w:val="000000" w:themeColor="text1"/>
        </w:rPr>
        <w:t xml:space="preserve"> på i underkant av 5%.</w:t>
      </w:r>
    </w:p>
    <w:p w14:paraId="3E67A8EA" w14:textId="77777777" w:rsidR="00482D4F" w:rsidRDefault="00482D4F" w:rsidP="00482D4F">
      <w:pPr>
        <w:rPr>
          <w:color w:val="000000" w:themeColor="text1"/>
        </w:rPr>
      </w:pPr>
      <w:r>
        <w:rPr>
          <w:color w:val="000000" w:themeColor="text1"/>
        </w:rPr>
        <w:t>(nominell nedgang på ca 2%)</w:t>
      </w:r>
      <w:r w:rsidRPr="006F497B">
        <w:rPr>
          <w:color w:val="000000" w:themeColor="text1"/>
        </w:rPr>
        <w:t xml:space="preserve"> </w:t>
      </w:r>
    </w:p>
    <w:p w14:paraId="29C7F7F2" w14:textId="77777777" w:rsidR="00482D4F" w:rsidRPr="006F497B" w:rsidRDefault="00482D4F" w:rsidP="00482D4F">
      <w:pPr>
        <w:rPr>
          <w:color w:val="000000" w:themeColor="text1"/>
        </w:rPr>
      </w:pPr>
    </w:p>
    <w:p w14:paraId="777FB7B5" w14:textId="77777777" w:rsidR="00482D4F" w:rsidRPr="006F497B" w:rsidRDefault="00482D4F" w:rsidP="00482D4F">
      <w:pPr>
        <w:rPr>
          <w:color w:val="000000" w:themeColor="text1"/>
        </w:rPr>
      </w:pPr>
      <w:r>
        <w:rPr>
          <w:noProof/>
        </w:rPr>
        <w:drawing>
          <wp:inline distT="0" distB="0" distL="0" distR="0" wp14:anchorId="718E05CE" wp14:editId="70819D87">
            <wp:extent cx="5314950" cy="2828925"/>
            <wp:effectExtent l="0" t="0" r="0" b="9525"/>
            <wp:docPr id="25" name="Diagra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9B78ED1" w14:textId="77777777" w:rsidR="00482D4F" w:rsidRPr="006F497B" w:rsidRDefault="005C4683" w:rsidP="00482D4F">
      <w:pPr>
        <w:rPr>
          <w:rFonts w:eastAsia="Calibri"/>
          <w:i/>
          <w:color w:val="000000" w:themeColor="text1"/>
          <w:sz w:val="20"/>
          <w:lang w:eastAsia="en-US"/>
        </w:rPr>
      </w:pPr>
      <w:r>
        <w:rPr>
          <w:rFonts w:eastAsia="Calibri"/>
          <w:i/>
          <w:color w:val="000000" w:themeColor="text1"/>
          <w:sz w:val="20"/>
          <w:lang w:eastAsia="en-US"/>
        </w:rPr>
        <w:t>Figur 6:</w:t>
      </w:r>
      <w:r w:rsidR="00482D4F" w:rsidRPr="006F497B">
        <w:rPr>
          <w:rFonts w:eastAsia="Calibri"/>
          <w:i/>
          <w:color w:val="000000" w:themeColor="text1"/>
          <w:sz w:val="20"/>
          <w:lang w:eastAsia="en-US"/>
        </w:rPr>
        <w:t xml:space="preserve"> Utvikling </w:t>
      </w:r>
      <w:r w:rsidR="00482D4F">
        <w:rPr>
          <w:rFonts w:eastAsia="Calibri"/>
          <w:i/>
          <w:color w:val="000000" w:themeColor="text1"/>
          <w:sz w:val="20"/>
          <w:lang w:eastAsia="en-US"/>
        </w:rPr>
        <w:t>andre bidrags</w:t>
      </w:r>
      <w:r w:rsidR="00482D4F" w:rsidRPr="006F497B">
        <w:rPr>
          <w:rFonts w:eastAsia="Calibri"/>
          <w:i/>
          <w:color w:val="000000" w:themeColor="text1"/>
          <w:sz w:val="20"/>
          <w:lang w:eastAsia="en-US"/>
        </w:rPr>
        <w:t>prosjekter (eks NFR og EU)</w:t>
      </w:r>
    </w:p>
    <w:p w14:paraId="11EECFB4" w14:textId="77777777" w:rsidR="00482D4F" w:rsidRDefault="00482D4F" w:rsidP="00482D4F">
      <w:pPr>
        <w:rPr>
          <w:color w:val="000000" w:themeColor="text1"/>
        </w:rPr>
      </w:pPr>
    </w:p>
    <w:p w14:paraId="11A2F5E6" w14:textId="77777777" w:rsidR="00482D4F" w:rsidRDefault="00482D4F" w:rsidP="00482D4F">
      <w:pPr>
        <w:rPr>
          <w:color w:val="000000" w:themeColor="text1"/>
        </w:rPr>
      </w:pPr>
    </w:p>
    <w:p w14:paraId="33C0334D" w14:textId="77777777" w:rsidR="00482D4F" w:rsidRDefault="00482D4F" w:rsidP="00482D4F">
      <w:pPr>
        <w:rPr>
          <w:color w:val="000000" w:themeColor="text1"/>
        </w:rPr>
      </w:pPr>
      <w:r w:rsidRPr="006F497B">
        <w:rPr>
          <w:color w:val="000000" w:themeColor="text1"/>
        </w:rPr>
        <w:t>Årsaken til nedg</w:t>
      </w:r>
      <w:r w:rsidR="004F5667">
        <w:rPr>
          <w:color w:val="000000" w:themeColor="text1"/>
        </w:rPr>
        <w:t xml:space="preserve">angen er i hovedsak </w:t>
      </w:r>
      <w:r>
        <w:rPr>
          <w:color w:val="000000" w:themeColor="text1"/>
        </w:rPr>
        <w:t xml:space="preserve">redusert bidragsaktivitet ved Fakultetet for ingeniørvitenskap og teknologi. (IVT) </w:t>
      </w:r>
    </w:p>
    <w:p w14:paraId="6F7CD408" w14:textId="77777777" w:rsidR="00482D4F" w:rsidRDefault="00482D4F" w:rsidP="00482D4F">
      <w:pPr>
        <w:rPr>
          <w:color w:val="000000" w:themeColor="text1"/>
        </w:rPr>
      </w:pPr>
    </w:p>
    <w:p w14:paraId="22DF268D" w14:textId="0B41689E" w:rsidR="00482D4F" w:rsidRDefault="00482D4F" w:rsidP="00482D4F">
      <w:pPr>
        <w:rPr>
          <w:color w:val="000000" w:themeColor="text1"/>
        </w:rPr>
      </w:pPr>
      <w:r>
        <w:rPr>
          <w:color w:val="000000" w:themeColor="text1"/>
        </w:rPr>
        <w:t xml:space="preserve">Aktiviteten med SAMCOT (SFI-senter) har vært 17 mill lavere enn i 2013. Dette skyldes at en betydelig engangskostnad ble ført i 2013. Akademia-avtalen med Statoil </w:t>
      </w:r>
      <w:r w:rsidR="00586256">
        <w:rPr>
          <w:color w:val="000000" w:themeColor="text1"/>
        </w:rPr>
        <w:t xml:space="preserve">ble også </w:t>
      </w:r>
      <w:r>
        <w:rPr>
          <w:color w:val="000000" w:themeColor="text1"/>
        </w:rPr>
        <w:t>reforhandlet i 2014</w:t>
      </w:r>
      <w:r w:rsidR="00586256">
        <w:rPr>
          <w:color w:val="000000" w:themeColor="text1"/>
        </w:rPr>
        <w:t>, og den nye femårige avtalen gir et årlig tilskudd som er 8 mill.kr lavere enn i den forrige avtaleperioden. (Til og med 2013 var det årlige tilskuddet 20 mill.kr, fra og med 2014 er det årlige tilskuddet 12 mill.kr)</w:t>
      </w:r>
    </w:p>
    <w:p w14:paraId="65D6BB93" w14:textId="77777777" w:rsidR="00482D4F" w:rsidRDefault="00482D4F" w:rsidP="00482D4F">
      <w:pPr>
        <w:rPr>
          <w:color w:val="000000" w:themeColor="text1"/>
        </w:rPr>
      </w:pPr>
    </w:p>
    <w:p w14:paraId="79E6D3C3" w14:textId="4E5E1474" w:rsidR="00482D4F" w:rsidRPr="00FC0828" w:rsidRDefault="00482D4F" w:rsidP="00482D4F">
      <w:r w:rsidRPr="00FC0828">
        <w:t xml:space="preserve">Nedgangen i bidragsfinansiert aktivitet fra næringslivet og andre offentlige aktører ved IVT rapporteres imidlertid ikke å være starten på en trend, men mer en litt tilfeldig svingning. </w:t>
      </w:r>
      <w:r w:rsidR="004F5667">
        <w:t>Som koordinator for en ny SFI, og</w:t>
      </w:r>
      <w:r w:rsidRPr="00FC0828">
        <w:t xml:space="preserve"> part</w:t>
      </w:r>
      <w:r w:rsidR="004F5667">
        <w:t>ner</w:t>
      </w:r>
      <w:r w:rsidRPr="00FC0828">
        <w:t xml:space="preserve"> i ytterligere åtte </w:t>
      </w:r>
      <w:r w:rsidR="000F7D2D">
        <w:t xml:space="preserve">nye </w:t>
      </w:r>
      <w:r w:rsidRPr="00FC0828">
        <w:t xml:space="preserve">SFI-senter, forventes vekst i bidragsaktiviteten og samarbeidet med næringslivet </w:t>
      </w:r>
      <w:r w:rsidR="00977C26">
        <w:t xml:space="preserve">ved IVT </w:t>
      </w:r>
      <w:r w:rsidRPr="00FC0828">
        <w:t xml:space="preserve">de kommende årene. Flere andre større prosjekt er også under opptrapping. </w:t>
      </w:r>
    </w:p>
    <w:p w14:paraId="2756C61E" w14:textId="77777777" w:rsidR="00482D4F" w:rsidRDefault="00482D4F" w:rsidP="00482D4F">
      <w:pPr>
        <w:rPr>
          <w:color w:val="000000" w:themeColor="text1"/>
        </w:rPr>
      </w:pPr>
    </w:p>
    <w:p w14:paraId="46FB447D" w14:textId="77777777" w:rsidR="00482D4F" w:rsidRDefault="00482D4F" w:rsidP="00482D4F">
      <w:pPr>
        <w:rPr>
          <w:color w:val="000000" w:themeColor="text1"/>
        </w:rPr>
      </w:pPr>
      <w:r>
        <w:rPr>
          <w:color w:val="000000" w:themeColor="text1"/>
        </w:rPr>
        <w:t xml:space="preserve">I underkant av 30% av all aktivitet i kategorien «Annen bidragsfinansiert aktivitet» er forskningsaktivitet finansiert av Helse-Midt Norge (HMN) ved DMF. I 2014 var denne aktiviteten på ca samme nivå som i 2013.  I 2013 var det imidlertid en unormalt høy aktivitet, hvor en del ubrukte midler fra tidligere år ble brukt opp. Tildeling fra HMN var i 2014 20 mill.kr høyere enn i 2013, men aktiviteten gjenspeiler ikke dette. Det er en viss usikkerhet rundt tilskuddsordningen fra HMN i årene fremover, om dagens system for forvaltning av forskningsmidler fortsetter, og om nivået på forskningsmidlene opprettholdes. Foreløpig er det imidlertid ingen klare signaler om store endringer på kort sikt, så BOA-aktiviteten ved DMF knyttet til HMN-bidrag forventes å opprettholdes også i 2015. </w:t>
      </w:r>
    </w:p>
    <w:p w14:paraId="307F5637" w14:textId="77777777" w:rsidR="00482D4F" w:rsidRDefault="00482D4F" w:rsidP="00482D4F">
      <w:pPr>
        <w:rPr>
          <w:color w:val="000000" w:themeColor="text1"/>
        </w:rPr>
      </w:pPr>
    </w:p>
    <w:p w14:paraId="201B378D" w14:textId="77777777" w:rsidR="00482D4F" w:rsidRDefault="00482D4F" w:rsidP="00482D4F">
      <w:pPr>
        <w:rPr>
          <w:color w:val="000000" w:themeColor="text1"/>
        </w:rPr>
      </w:pPr>
      <w:r>
        <w:rPr>
          <w:color w:val="000000" w:themeColor="text1"/>
        </w:rPr>
        <w:t>I perioden 2015-2018 forventes en økt bidragsaktivitet knyttet til HUNT4 (Helseundersøkelsen i Nord-Trøndelag), på totalt 100 mill kr. ved DMF. Hovedtyngden av dette vil komme i 2016-2018.</w:t>
      </w:r>
    </w:p>
    <w:p w14:paraId="4F2EDF35" w14:textId="77777777" w:rsidR="00482D4F" w:rsidRDefault="00482D4F" w:rsidP="00482D4F">
      <w:pPr>
        <w:rPr>
          <w:color w:val="000000" w:themeColor="text1"/>
        </w:rPr>
      </w:pPr>
    </w:p>
    <w:p w14:paraId="5435DCEE" w14:textId="77777777" w:rsidR="00482D4F" w:rsidRDefault="00482D4F" w:rsidP="00482D4F">
      <w:pPr>
        <w:rPr>
          <w:color w:val="0070C0"/>
        </w:rPr>
      </w:pPr>
    </w:p>
    <w:p w14:paraId="316966C9" w14:textId="77777777" w:rsidR="00264A51" w:rsidRPr="00F70789" w:rsidRDefault="00264A51" w:rsidP="00482D4F">
      <w:pPr>
        <w:rPr>
          <w:color w:val="0070C0"/>
        </w:rPr>
      </w:pPr>
    </w:p>
    <w:p w14:paraId="3398FC12" w14:textId="77777777" w:rsidR="00482D4F" w:rsidRDefault="00482D4F" w:rsidP="00482D4F">
      <w:pPr>
        <w:pStyle w:val="Overskrift2"/>
        <w:numPr>
          <w:ilvl w:val="1"/>
          <w:numId w:val="1"/>
        </w:numPr>
        <w:spacing w:before="120" w:after="120"/>
        <w:ind w:left="283" w:firstLine="0"/>
        <w:rPr>
          <w:rFonts w:eastAsia="Calibri"/>
          <w:lang w:eastAsia="en-US"/>
        </w:rPr>
      </w:pPr>
      <w:r w:rsidRPr="00EA1138">
        <w:rPr>
          <w:rFonts w:eastAsia="Calibri"/>
          <w:lang w:eastAsia="en-US"/>
        </w:rPr>
        <w:t>Oppdragsfinansiert aktivitet</w:t>
      </w:r>
    </w:p>
    <w:p w14:paraId="0F0B0A38" w14:textId="77777777" w:rsidR="00482D4F" w:rsidRDefault="00482D4F" w:rsidP="00482D4F">
      <w:pPr>
        <w:rPr>
          <w:rFonts w:eastAsia="Calibri"/>
          <w:lang w:eastAsia="en-US"/>
        </w:rPr>
      </w:pPr>
    </w:p>
    <w:p w14:paraId="3593CB5B" w14:textId="77777777" w:rsidR="00482D4F" w:rsidRDefault="00482D4F" w:rsidP="00482D4F">
      <w:pPr>
        <w:rPr>
          <w:noProof/>
        </w:rPr>
      </w:pPr>
      <w:r w:rsidRPr="004233FB">
        <w:t>Oppdragsaktiviteten ble i 2014 107 mill.kr, en aktivitetsnedgang på ca 13% fra 2013</w:t>
      </w:r>
      <w:r>
        <w:t>. Dette er et nivå som er i henhold til prognose gitt etter andre tertial. (Prognose 100-110 mill.kr)</w:t>
      </w:r>
      <w:r w:rsidRPr="00B3730D">
        <w:rPr>
          <w:noProof/>
        </w:rPr>
        <w:t xml:space="preserve"> </w:t>
      </w:r>
    </w:p>
    <w:p w14:paraId="01ED20B4" w14:textId="77777777" w:rsidR="00482D4F" w:rsidRDefault="00482D4F" w:rsidP="00482D4F">
      <w:pPr>
        <w:rPr>
          <w:noProof/>
        </w:rPr>
      </w:pPr>
    </w:p>
    <w:p w14:paraId="010C472D" w14:textId="77777777" w:rsidR="00482D4F" w:rsidRPr="004233FB" w:rsidRDefault="00482D4F" w:rsidP="00482D4F">
      <w:r>
        <w:rPr>
          <w:noProof/>
        </w:rPr>
        <w:drawing>
          <wp:inline distT="0" distB="0" distL="0" distR="0" wp14:anchorId="37854140" wp14:editId="0E24FBCF">
            <wp:extent cx="4772025" cy="2583815"/>
            <wp:effectExtent l="0" t="0" r="9525" b="6985"/>
            <wp:docPr id="26" name="Diagram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F133C27" w14:textId="77777777" w:rsidR="005C4683" w:rsidRPr="006F497B" w:rsidRDefault="005C4683" w:rsidP="005C4683">
      <w:pPr>
        <w:rPr>
          <w:rFonts w:eastAsia="Calibri"/>
          <w:i/>
          <w:color w:val="000000" w:themeColor="text1"/>
          <w:sz w:val="20"/>
          <w:lang w:eastAsia="en-US"/>
        </w:rPr>
      </w:pPr>
      <w:r>
        <w:rPr>
          <w:rFonts w:eastAsia="Calibri"/>
          <w:i/>
          <w:color w:val="000000" w:themeColor="text1"/>
          <w:sz w:val="20"/>
          <w:lang w:eastAsia="en-US"/>
        </w:rPr>
        <w:t>Figur 7:</w:t>
      </w:r>
      <w:r w:rsidRPr="006F497B">
        <w:rPr>
          <w:rFonts w:eastAsia="Calibri"/>
          <w:i/>
          <w:color w:val="000000" w:themeColor="text1"/>
          <w:sz w:val="20"/>
          <w:lang w:eastAsia="en-US"/>
        </w:rPr>
        <w:t xml:space="preserve"> Utvikling </w:t>
      </w:r>
      <w:r>
        <w:rPr>
          <w:rFonts w:eastAsia="Calibri"/>
          <w:i/>
          <w:color w:val="000000" w:themeColor="text1"/>
          <w:sz w:val="20"/>
          <w:lang w:eastAsia="en-US"/>
        </w:rPr>
        <w:t>oppdragsaktivitet</w:t>
      </w:r>
    </w:p>
    <w:p w14:paraId="2FF7747D" w14:textId="77777777" w:rsidR="00482D4F" w:rsidRDefault="00482D4F" w:rsidP="00482D4F">
      <w:pPr>
        <w:rPr>
          <w:color w:val="0070C0"/>
        </w:rPr>
      </w:pPr>
    </w:p>
    <w:p w14:paraId="433C9B5A" w14:textId="77777777" w:rsidR="00482D4F" w:rsidRDefault="00482D4F" w:rsidP="00482D4F">
      <w:pPr>
        <w:rPr>
          <w:color w:val="0070C0"/>
        </w:rPr>
      </w:pPr>
      <w:r w:rsidRPr="00BE0510">
        <w:t xml:space="preserve">Av den totale oppdragsforskningen er i underkant </w:t>
      </w:r>
      <w:r w:rsidR="00A23B0D">
        <w:t xml:space="preserve">av </w:t>
      </w:r>
      <w:r w:rsidRPr="00BE0510">
        <w:t>halvparten finansiert av næringslivet, med Statoil som største aktør. Sintef står for 15-20 mill. kr og statlige og kommunale aktører står for resten av porteføljen</w:t>
      </w:r>
      <w:r w:rsidRPr="00F70789">
        <w:rPr>
          <w:color w:val="0070C0"/>
        </w:rPr>
        <w:t>.</w:t>
      </w:r>
    </w:p>
    <w:p w14:paraId="0720B187" w14:textId="77777777" w:rsidR="00482D4F" w:rsidRDefault="00482D4F" w:rsidP="00482D4F">
      <w:pPr>
        <w:rPr>
          <w:color w:val="0070C0"/>
        </w:rPr>
      </w:pPr>
    </w:p>
    <w:p w14:paraId="0C4735C1" w14:textId="77777777" w:rsidR="00482D4F" w:rsidRDefault="00482D4F" w:rsidP="00482D4F">
      <w:r w:rsidRPr="0075751C">
        <w:t xml:space="preserve">Nedgangen i oppdragsaktivitet </w:t>
      </w:r>
      <w:r>
        <w:t xml:space="preserve">fra 2013 til 2014 </w:t>
      </w:r>
      <w:r w:rsidRPr="0075751C">
        <w:t xml:space="preserve">knytter seg i all hovedsak til to fakulteter, </w:t>
      </w:r>
      <w:r>
        <w:t>NT og IVT</w:t>
      </w:r>
      <w:r w:rsidRPr="0075751C">
        <w:t xml:space="preserve">. </w:t>
      </w:r>
      <w:r w:rsidR="005C4683">
        <w:t>Ved</w:t>
      </w:r>
      <w:r>
        <w:t xml:space="preserve"> NT har nedgangen en delt forklaring; delvis at omfanget av oppdragsprosjekter mot større industriaktører har hatt en reell negativ utvikling d</w:t>
      </w:r>
      <w:r w:rsidR="004F5667">
        <w:t>en senere tiden, og delvis at</w:t>
      </w:r>
      <w:r>
        <w:t xml:space="preserve"> del</w:t>
      </w:r>
      <w:r w:rsidR="004F5667">
        <w:t>er</w:t>
      </w:r>
      <w:r>
        <w:t xml:space="preserve"> av det som i 2013 var klassifisert som oppdragsvirksomhet, i 2014 er klassifisert som bevilgningsaktivitet i henhold til nytt BOA-reglement. På IVT har det vært en nedgang i oppdragsvirksomheten ved de fleste institutt med slik type aktivitet i 2014. </w:t>
      </w:r>
    </w:p>
    <w:p w14:paraId="22E5D8F3" w14:textId="77777777" w:rsidR="00482D4F" w:rsidRDefault="00482D4F" w:rsidP="00482D4F"/>
    <w:p w14:paraId="66C09FB7" w14:textId="4DB71780" w:rsidR="00482D4F" w:rsidRDefault="00482D4F" w:rsidP="00482D4F">
      <w:r w:rsidRPr="0075751C">
        <w:t xml:space="preserve">Oppdragsvirksomheten kommer </w:t>
      </w:r>
      <w:r>
        <w:t>på toppen av fakultetets/instituttets</w:t>
      </w:r>
      <w:r w:rsidRPr="0075751C">
        <w:t xml:space="preserve"> andre sats</w:t>
      </w:r>
      <w:r w:rsidR="00B36A7E">
        <w:t>n</w:t>
      </w:r>
      <w:r w:rsidRPr="0075751C">
        <w:t>inger</w:t>
      </w:r>
      <w:r w:rsidR="00B36A7E">
        <w:t xml:space="preserve">. </w:t>
      </w:r>
      <w:r w:rsidRPr="0075751C">
        <w:t>Den vil være avhengig av kapasi</w:t>
      </w:r>
      <w:r>
        <w:t>tet</w:t>
      </w:r>
      <w:r w:rsidRPr="0075751C">
        <w:t xml:space="preserve"> og vil således kunne variere noe. En god del av oppdragsvirksomheten er konsulentoppdrag som forespørres på kort varsel. </w:t>
      </w:r>
    </w:p>
    <w:p w14:paraId="06BC2D97" w14:textId="77777777" w:rsidR="00DA7756" w:rsidRDefault="00DA7756">
      <w:pPr>
        <w:rPr>
          <w:b/>
          <w:kern w:val="28"/>
          <w:sz w:val="28"/>
        </w:rPr>
      </w:pPr>
    </w:p>
    <w:p w14:paraId="7C2DA1DD" w14:textId="77777777" w:rsidR="00B9152B" w:rsidRPr="00934AC9" w:rsidRDefault="00B9152B" w:rsidP="00B9152B">
      <w:pPr>
        <w:keepNext/>
        <w:spacing w:before="240" w:after="60"/>
        <w:outlineLvl w:val="0"/>
        <w:rPr>
          <w:b/>
          <w:kern w:val="28"/>
          <w:sz w:val="28"/>
        </w:rPr>
      </w:pPr>
      <w:r>
        <w:rPr>
          <w:b/>
          <w:kern w:val="28"/>
          <w:sz w:val="28"/>
        </w:rPr>
        <w:t>4. Omtale av eksternregnskapet</w:t>
      </w:r>
    </w:p>
    <w:p w14:paraId="7DA79B56" w14:textId="77777777" w:rsidR="00B9152B" w:rsidRPr="00934AC9" w:rsidRDefault="00B9152B" w:rsidP="00B9152B">
      <w:pPr>
        <w:rPr>
          <w:szCs w:val="24"/>
        </w:rPr>
      </w:pPr>
    </w:p>
    <w:p w14:paraId="21FF1C6B" w14:textId="77777777" w:rsidR="00B9152B" w:rsidRDefault="00B9152B" w:rsidP="00B9152B">
      <w:pPr>
        <w:rPr>
          <w:rFonts w:eastAsia="Calibri"/>
          <w:szCs w:val="24"/>
        </w:rPr>
      </w:pPr>
      <w:r>
        <w:rPr>
          <w:rFonts w:eastAsia="Calibri"/>
          <w:szCs w:val="24"/>
        </w:rPr>
        <w:t>Formålet med dette kapitlet er å gi styret utfyllende kommentarer knyttet til det avlagte årsregnskap for 2014 i vedlegg 3.</w:t>
      </w:r>
    </w:p>
    <w:p w14:paraId="52F1F72F" w14:textId="77777777" w:rsidR="00B9152B" w:rsidRDefault="00B9152B" w:rsidP="00B9152B">
      <w:pPr>
        <w:spacing w:before="100" w:after="100"/>
        <w:rPr>
          <w:rFonts w:eastAsia="Calibri"/>
          <w:szCs w:val="24"/>
        </w:rPr>
      </w:pPr>
      <w:r>
        <w:rPr>
          <w:rFonts w:eastAsia="Calibri"/>
          <w:szCs w:val="24"/>
        </w:rPr>
        <w:t>Årsr</w:t>
      </w:r>
      <w:r w:rsidRPr="00B506FB">
        <w:rPr>
          <w:rFonts w:eastAsia="Calibri"/>
          <w:szCs w:val="24"/>
        </w:rPr>
        <w:t>egnskapet</w:t>
      </w:r>
      <w:r>
        <w:rPr>
          <w:rFonts w:eastAsia="Calibri"/>
          <w:szCs w:val="24"/>
        </w:rPr>
        <w:t xml:space="preserve"> er avlagt i samsvar med de statlige regnskapsstandarder (SRS) og er utarbeidet i henhold til gjeldende krav om oppstilling og presentasjon. Årsregnskapet gir etter Rektors mening et riktig bilde av resultatet i 2014 og den økonomiske stillingen pr. 31.12.2014. </w:t>
      </w:r>
    </w:p>
    <w:p w14:paraId="27A49666" w14:textId="77777777" w:rsidR="00B9152B" w:rsidRPr="00934AC9" w:rsidRDefault="00B9152B" w:rsidP="00B9152B">
      <w:pPr>
        <w:rPr>
          <w:rFonts w:eastAsia="Calibri"/>
          <w:szCs w:val="24"/>
        </w:rPr>
      </w:pPr>
      <w:r>
        <w:rPr>
          <w:rFonts w:eastAsia="Calibri"/>
          <w:szCs w:val="24"/>
        </w:rPr>
        <w:t xml:space="preserve">I det videre vises til vedlagte regnskap pr. 31.12.2014 </w:t>
      </w:r>
      <w:r w:rsidRPr="00934AC9">
        <w:rPr>
          <w:rFonts w:eastAsia="Calibri"/>
          <w:szCs w:val="24"/>
        </w:rPr>
        <w:t>bestående av resultat- og balanseregnskap, noter og kontantstrømanalyse.</w:t>
      </w:r>
      <w:r w:rsidRPr="00934AC9">
        <w:t xml:space="preserve"> </w:t>
      </w:r>
    </w:p>
    <w:p w14:paraId="702A961A" w14:textId="77777777" w:rsidR="00B9152B" w:rsidRPr="00934AC9" w:rsidRDefault="00B9152B" w:rsidP="00B9152B">
      <w:pPr>
        <w:keepNext/>
        <w:spacing w:before="240" w:after="60"/>
        <w:outlineLvl w:val="1"/>
        <w:rPr>
          <w:rFonts w:eastAsia="Calibri"/>
          <w:b/>
        </w:rPr>
      </w:pPr>
      <w:r>
        <w:rPr>
          <w:rFonts w:eastAsia="Calibri"/>
          <w:b/>
        </w:rPr>
        <w:t>4</w:t>
      </w:r>
      <w:r w:rsidRPr="00934AC9">
        <w:rPr>
          <w:rFonts w:eastAsia="Calibri"/>
          <w:b/>
        </w:rPr>
        <w:t>.</w:t>
      </w:r>
      <w:r>
        <w:rPr>
          <w:rFonts w:eastAsia="Calibri"/>
          <w:b/>
        </w:rPr>
        <w:t>1</w:t>
      </w:r>
      <w:r w:rsidRPr="00934AC9">
        <w:rPr>
          <w:rFonts w:eastAsia="Calibri"/>
          <w:b/>
        </w:rPr>
        <w:t xml:space="preserve"> Resultatregnskapet</w:t>
      </w:r>
    </w:p>
    <w:p w14:paraId="2CCD557D" w14:textId="77777777" w:rsidR="00B9152B" w:rsidRDefault="00B9152B" w:rsidP="00B9152B">
      <w:pPr>
        <w:rPr>
          <w:rFonts w:eastAsia="Calibri"/>
          <w:szCs w:val="24"/>
        </w:rPr>
      </w:pPr>
      <w:r w:rsidRPr="00FB6428">
        <w:rPr>
          <w:rFonts w:eastAsia="Calibri"/>
          <w:szCs w:val="24"/>
        </w:rPr>
        <w:t xml:space="preserve">Resultatregnskapet gir uttrykk for den økonomiske utviklingen </w:t>
      </w:r>
      <w:r>
        <w:rPr>
          <w:rFonts w:eastAsia="Calibri"/>
          <w:szCs w:val="24"/>
        </w:rPr>
        <w:t>i 2014.</w:t>
      </w:r>
      <w:r w:rsidRPr="00FB6428">
        <w:rPr>
          <w:rFonts w:eastAsia="Calibri"/>
          <w:szCs w:val="24"/>
        </w:rPr>
        <w:t xml:space="preserve"> </w:t>
      </w:r>
    </w:p>
    <w:p w14:paraId="5C556191" w14:textId="77777777" w:rsidR="00B9152B" w:rsidRDefault="00B9152B" w:rsidP="00B9152B">
      <w:pPr>
        <w:rPr>
          <w:rFonts w:eastAsia="Calibri"/>
          <w:szCs w:val="24"/>
        </w:rPr>
      </w:pPr>
    </w:p>
    <w:p w14:paraId="528CEA9D" w14:textId="77777777" w:rsidR="00B9152B" w:rsidRPr="00ED49E7" w:rsidRDefault="00B9152B" w:rsidP="00B9152B">
      <w:pPr>
        <w:rPr>
          <w:rFonts w:eastAsia="Calibri"/>
          <w:i/>
          <w:color w:val="FF0000"/>
          <w:szCs w:val="24"/>
        </w:rPr>
      </w:pPr>
      <w:r w:rsidRPr="00FB6428">
        <w:rPr>
          <w:rFonts w:eastAsia="Calibri"/>
          <w:szCs w:val="24"/>
        </w:rPr>
        <w:t>Drifts</w:t>
      </w:r>
      <w:r w:rsidRPr="00FB6428">
        <w:rPr>
          <w:rFonts w:eastAsia="Calibri"/>
          <w:szCs w:val="24"/>
        </w:rPr>
        <w:softHyphen/>
        <w:t xml:space="preserve">inntektene er på </w:t>
      </w:r>
      <w:r>
        <w:rPr>
          <w:rFonts w:eastAsia="Calibri"/>
          <w:szCs w:val="24"/>
        </w:rPr>
        <w:t>6 047</w:t>
      </w:r>
      <w:r w:rsidRPr="00FB6428">
        <w:rPr>
          <w:rFonts w:eastAsia="Calibri"/>
          <w:szCs w:val="24"/>
        </w:rPr>
        <w:t xml:space="preserve"> mill. kr</w:t>
      </w:r>
      <w:r>
        <w:rPr>
          <w:rFonts w:eastAsia="Calibri"/>
          <w:szCs w:val="24"/>
        </w:rPr>
        <w:t>.</w:t>
      </w:r>
      <w:r w:rsidRPr="00FB6428">
        <w:rPr>
          <w:rFonts w:eastAsia="Calibri"/>
          <w:szCs w:val="24"/>
        </w:rPr>
        <w:t xml:space="preserve"> </w:t>
      </w:r>
      <w:r>
        <w:rPr>
          <w:rFonts w:eastAsia="Calibri"/>
          <w:szCs w:val="24"/>
        </w:rPr>
        <w:t>i 2014</w:t>
      </w:r>
      <w:r w:rsidRPr="00FB6428">
        <w:rPr>
          <w:rFonts w:eastAsia="Calibri"/>
          <w:szCs w:val="24"/>
        </w:rPr>
        <w:t>.</w:t>
      </w:r>
      <w:r>
        <w:rPr>
          <w:rFonts w:eastAsia="Calibri"/>
          <w:szCs w:val="24"/>
        </w:rPr>
        <w:t xml:space="preserve"> Inntektene har økt med 402 mill.kr. (7,1%) sammenliknet med 2013. Økningen i driftsinntekter skyldes hovedsakelig at bevilgningsinntekter har økt med 388,8 mill. kr. (9,8%)</w:t>
      </w:r>
    </w:p>
    <w:p w14:paraId="03117B4E" w14:textId="77777777" w:rsidR="00B9152B" w:rsidRPr="006835AD" w:rsidRDefault="00B9152B" w:rsidP="00B9152B">
      <w:pPr>
        <w:rPr>
          <w:rFonts w:eastAsia="Calibri"/>
          <w:color w:val="808080"/>
          <w:szCs w:val="24"/>
        </w:rPr>
      </w:pPr>
    </w:p>
    <w:p w14:paraId="50B412E3" w14:textId="77777777" w:rsidR="00B9152B" w:rsidRPr="00934AC9" w:rsidRDefault="00B9152B" w:rsidP="00B9152B">
      <w:pPr>
        <w:rPr>
          <w:rFonts w:eastAsia="Calibri"/>
          <w:szCs w:val="24"/>
        </w:rPr>
      </w:pPr>
      <w:r w:rsidRPr="00934AC9">
        <w:rPr>
          <w:rFonts w:eastAsia="Calibri"/>
          <w:szCs w:val="24"/>
        </w:rPr>
        <w:t xml:space="preserve">Tabellen nedenfor viser en </w:t>
      </w:r>
      <w:r>
        <w:rPr>
          <w:rFonts w:eastAsia="Calibri"/>
          <w:szCs w:val="24"/>
        </w:rPr>
        <w:t xml:space="preserve">forholdsmessig </w:t>
      </w:r>
      <w:r w:rsidRPr="00934AC9">
        <w:rPr>
          <w:rFonts w:eastAsia="Calibri"/>
          <w:szCs w:val="24"/>
        </w:rPr>
        <w:t>utvikling mellom bevilgningsinntekter og andre inntekter</w:t>
      </w:r>
      <w:r>
        <w:rPr>
          <w:rFonts w:eastAsia="Calibri"/>
          <w:szCs w:val="24"/>
        </w:rPr>
        <w:t xml:space="preserve"> de siste 3 år</w:t>
      </w:r>
      <w:r w:rsidRPr="00934AC9">
        <w:rPr>
          <w:rFonts w:eastAsia="Calibri"/>
          <w:szCs w:val="24"/>
        </w:rPr>
        <w:t xml:space="preserve">. </w:t>
      </w:r>
    </w:p>
    <w:tbl>
      <w:tblPr>
        <w:tblW w:w="6760" w:type="dxa"/>
        <w:tblCellMar>
          <w:left w:w="70" w:type="dxa"/>
          <w:right w:w="70" w:type="dxa"/>
        </w:tblCellMar>
        <w:tblLook w:val="04A0" w:firstRow="1" w:lastRow="0" w:firstColumn="1" w:lastColumn="0" w:noHBand="0" w:noVBand="1"/>
      </w:tblPr>
      <w:tblGrid>
        <w:gridCol w:w="3040"/>
        <w:gridCol w:w="1240"/>
        <w:gridCol w:w="1240"/>
        <w:gridCol w:w="1240"/>
      </w:tblGrid>
      <w:tr w:rsidR="00B9152B" w:rsidRPr="00934AC9" w14:paraId="282C90BA" w14:textId="77777777" w:rsidTr="00E847BA">
        <w:trPr>
          <w:trHeight w:val="255"/>
        </w:trPr>
        <w:tc>
          <w:tcPr>
            <w:tcW w:w="3040" w:type="dxa"/>
            <w:tcBorders>
              <w:top w:val="single" w:sz="4" w:space="0" w:color="4F81BD"/>
              <w:left w:val="single" w:sz="4" w:space="0" w:color="4F81BD"/>
              <w:bottom w:val="nil"/>
              <w:right w:val="nil"/>
            </w:tcBorders>
            <w:shd w:val="clear" w:color="000000" w:fill="DCE6F1"/>
            <w:noWrap/>
            <w:vAlign w:val="bottom"/>
            <w:hideMark/>
          </w:tcPr>
          <w:p w14:paraId="2745671C" w14:textId="77777777" w:rsidR="00B9152B" w:rsidRPr="00934AC9" w:rsidRDefault="00B9152B" w:rsidP="00E847BA">
            <w:pPr>
              <w:rPr>
                <w:b/>
                <w:bCs/>
                <w:szCs w:val="24"/>
              </w:rPr>
            </w:pPr>
          </w:p>
        </w:tc>
        <w:tc>
          <w:tcPr>
            <w:tcW w:w="1240" w:type="dxa"/>
            <w:tcBorders>
              <w:top w:val="single" w:sz="4" w:space="0" w:color="4F81BD"/>
              <w:left w:val="nil"/>
              <w:bottom w:val="nil"/>
              <w:right w:val="nil"/>
            </w:tcBorders>
            <w:shd w:val="clear" w:color="000000" w:fill="DCE6F1"/>
          </w:tcPr>
          <w:p w14:paraId="2C916315" w14:textId="77777777" w:rsidR="00B9152B" w:rsidRPr="00934AC9" w:rsidRDefault="00B9152B" w:rsidP="00E847BA">
            <w:pPr>
              <w:jc w:val="center"/>
              <w:rPr>
                <w:b/>
                <w:bCs/>
                <w:szCs w:val="24"/>
              </w:rPr>
            </w:pPr>
            <w:r>
              <w:rPr>
                <w:b/>
                <w:bCs/>
                <w:szCs w:val="24"/>
              </w:rPr>
              <w:t>2014</w:t>
            </w:r>
          </w:p>
        </w:tc>
        <w:tc>
          <w:tcPr>
            <w:tcW w:w="1240" w:type="dxa"/>
            <w:tcBorders>
              <w:top w:val="single" w:sz="4" w:space="0" w:color="4F81BD"/>
              <w:left w:val="nil"/>
              <w:bottom w:val="nil"/>
              <w:right w:val="nil"/>
            </w:tcBorders>
            <w:shd w:val="clear" w:color="000000" w:fill="DCE6F1"/>
            <w:noWrap/>
            <w:vAlign w:val="bottom"/>
            <w:hideMark/>
          </w:tcPr>
          <w:p w14:paraId="6092E229" w14:textId="77777777" w:rsidR="00B9152B" w:rsidRPr="00934AC9" w:rsidRDefault="00B9152B" w:rsidP="00E847BA">
            <w:pPr>
              <w:jc w:val="center"/>
              <w:rPr>
                <w:b/>
                <w:bCs/>
                <w:szCs w:val="24"/>
              </w:rPr>
            </w:pPr>
            <w:r w:rsidRPr="00934AC9">
              <w:rPr>
                <w:b/>
                <w:bCs/>
                <w:szCs w:val="24"/>
              </w:rPr>
              <w:t>201</w:t>
            </w:r>
            <w:r>
              <w:rPr>
                <w:b/>
                <w:bCs/>
                <w:szCs w:val="24"/>
              </w:rPr>
              <w:t>3</w:t>
            </w:r>
          </w:p>
        </w:tc>
        <w:tc>
          <w:tcPr>
            <w:tcW w:w="1240" w:type="dxa"/>
            <w:tcBorders>
              <w:top w:val="single" w:sz="4" w:space="0" w:color="4F81BD"/>
              <w:left w:val="nil"/>
              <w:bottom w:val="nil"/>
              <w:right w:val="single" w:sz="4" w:space="0" w:color="4F81BD"/>
            </w:tcBorders>
            <w:shd w:val="clear" w:color="000000" w:fill="DCE6F1"/>
            <w:noWrap/>
            <w:vAlign w:val="bottom"/>
            <w:hideMark/>
          </w:tcPr>
          <w:p w14:paraId="7DFB2E4F" w14:textId="77777777" w:rsidR="00B9152B" w:rsidRPr="00934AC9" w:rsidRDefault="00B9152B" w:rsidP="00E847BA">
            <w:pPr>
              <w:jc w:val="center"/>
              <w:rPr>
                <w:b/>
                <w:bCs/>
                <w:szCs w:val="24"/>
              </w:rPr>
            </w:pPr>
            <w:r w:rsidRPr="00934AC9">
              <w:rPr>
                <w:b/>
                <w:bCs/>
                <w:szCs w:val="24"/>
              </w:rPr>
              <w:t>201</w:t>
            </w:r>
            <w:r>
              <w:rPr>
                <w:b/>
                <w:bCs/>
                <w:szCs w:val="24"/>
              </w:rPr>
              <w:t>2</w:t>
            </w:r>
          </w:p>
        </w:tc>
      </w:tr>
      <w:tr w:rsidR="00B9152B" w:rsidRPr="00934AC9" w14:paraId="2BB70DD4" w14:textId="77777777" w:rsidTr="00E847BA">
        <w:trPr>
          <w:trHeight w:val="255"/>
        </w:trPr>
        <w:tc>
          <w:tcPr>
            <w:tcW w:w="3040" w:type="dxa"/>
            <w:tcBorders>
              <w:top w:val="single" w:sz="4" w:space="0" w:color="4F81BD"/>
              <w:left w:val="single" w:sz="4" w:space="0" w:color="4F81BD"/>
              <w:bottom w:val="nil"/>
              <w:right w:val="nil"/>
            </w:tcBorders>
            <w:shd w:val="clear" w:color="auto" w:fill="auto"/>
            <w:noWrap/>
            <w:vAlign w:val="bottom"/>
            <w:hideMark/>
          </w:tcPr>
          <w:p w14:paraId="50B8E525" w14:textId="77777777" w:rsidR="00B9152B" w:rsidRPr="00934AC9" w:rsidRDefault="00B9152B" w:rsidP="00E847BA">
            <w:pPr>
              <w:rPr>
                <w:szCs w:val="24"/>
              </w:rPr>
            </w:pPr>
            <w:r w:rsidRPr="00934AC9">
              <w:rPr>
                <w:szCs w:val="24"/>
              </w:rPr>
              <w:t>Bevilgninger</w:t>
            </w:r>
          </w:p>
        </w:tc>
        <w:tc>
          <w:tcPr>
            <w:tcW w:w="1240" w:type="dxa"/>
            <w:tcBorders>
              <w:top w:val="single" w:sz="4" w:space="0" w:color="4F81BD"/>
              <w:left w:val="nil"/>
              <w:bottom w:val="nil"/>
              <w:right w:val="nil"/>
            </w:tcBorders>
          </w:tcPr>
          <w:p w14:paraId="603B9169" w14:textId="77777777" w:rsidR="00B9152B" w:rsidRPr="00934AC9" w:rsidRDefault="00B9152B" w:rsidP="00E847BA">
            <w:pPr>
              <w:jc w:val="center"/>
              <w:rPr>
                <w:szCs w:val="24"/>
              </w:rPr>
            </w:pPr>
            <w:r>
              <w:rPr>
                <w:szCs w:val="24"/>
              </w:rPr>
              <w:t>72%</w:t>
            </w:r>
          </w:p>
        </w:tc>
        <w:tc>
          <w:tcPr>
            <w:tcW w:w="1240" w:type="dxa"/>
            <w:tcBorders>
              <w:top w:val="single" w:sz="4" w:space="0" w:color="4F81BD"/>
              <w:left w:val="nil"/>
              <w:bottom w:val="nil"/>
              <w:right w:val="nil"/>
            </w:tcBorders>
            <w:shd w:val="clear" w:color="auto" w:fill="auto"/>
            <w:noWrap/>
            <w:vAlign w:val="bottom"/>
          </w:tcPr>
          <w:p w14:paraId="6846423B" w14:textId="77777777" w:rsidR="00B9152B" w:rsidRPr="00934AC9" w:rsidRDefault="00B9152B" w:rsidP="00E847BA">
            <w:pPr>
              <w:jc w:val="center"/>
              <w:rPr>
                <w:szCs w:val="24"/>
              </w:rPr>
            </w:pPr>
            <w:r>
              <w:rPr>
                <w:szCs w:val="24"/>
              </w:rPr>
              <w:t>70%</w:t>
            </w:r>
          </w:p>
        </w:tc>
        <w:tc>
          <w:tcPr>
            <w:tcW w:w="1240" w:type="dxa"/>
            <w:tcBorders>
              <w:top w:val="single" w:sz="4" w:space="0" w:color="4F81BD"/>
              <w:left w:val="nil"/>
              <w:bottom w:val="nil"/>
              <w:right w:val="single" w:sz="4" w:space="0" w:color="4F81BD"/>
            </w:tcBorders>
            <w:shd w:val="clear" w:color="auto" w:fill="auto"/>
            <w:noWrap/>
            <w:vAlign w:val="bottom"/>
          </w:tcPr>
          <w:p w14:paraId="6A67D082" w14:textId="77777777" w:rsidR="00B9152B" w:rsidRPr="00934AC9" w:rsidRDefault="00B9152B" w:rsidP="00E847BA">
            <w:pPr>
              <w:jc w:val="center"/>
              <w:rPr>
                <w:szCs w:val="24"/>
              </w:rPr>
            </w:pPr>
            <w:r>
              <w:rPr>
                <w:szCs w:val="24"/>
              </w:rPr>
              <w:t>71  %</w:t>
            </w:r>
          </w:p>
        </w:tc>
      </w:tr>
      <w:tr w:rsidR="00B9152B" w:rsidRPr="00934AC9" w14:paraId="01C2AEDA" w14:textId="77777777" w:rsidTr="00E847BA">
        <w:trPr>
          <w:trHeight w:val="255"/>
        </w:trPr>
        <w:tc>
          <w:tcPr>
            <w:tcW w:w="3040" w:type="dxa"/>
            <w:tcBorders>
              <w:top w:val="single" w:sz="4" w:space="0" w:color="4F81BD"/>
              <w:left w:val="single" w:sz="4" w:space="0" w:color="4F81BD"/>
              <w:bottom w:val="single" w:sz="4" w:space="0" w:color="4F81BD"/>
              <w:right w:val="nil"/>
            </w:tcBorders>
            <w:shd w:val="clear" w:color="auto" w:fill="auto"/>
            <w:noWrap/>
            <w:vAlign w:val="bottom"/>
            <w:hideMark/>
          </w:tcPr>
          <w:p w14:paraId="289A487F" w14:textId="77777777" w:rsidR="00B9152B" w:rsidRPr="00934AC9" w:rsidRDefault="00B9152B" w:rsidP="00E847BA">
            <w:pPr>
              <w:rPr>
                <w:szCs w:val="24"/>
              </w:rPr>
            </w:pPr>
            <w:r w:rsidRPr="00934AC9">
              <w:rPr>
                <w:szCs w:val="24"/>
              </w:rPr>
              <w:t>Andre inntekter</w:t>
            </w:r>
          </w:p>
        </w:tc>
        <w:tc>
          <w:tcPr>
            <w:tcW w:w="1240" w:type="dxa"/>
            <w:tcBorders>
              <w:top w:val="single" w:sz="4" w:space="0" w:color="4F81BD"/>
              <w:left w:val="nil"/>
              <w:bottom w:val="single" w:sz="4" w:space="0" w:color="4F81BD"/>
              <w:right w:val="nil"/>
            </w:tcBorders>
          </w:tcPr>
          <w:p w14:paraId="41DBF8BE" w14:textId="77777777" w:rsidR="00B9152B" w:rsidRPr="00934AC9" w:rsidRDefault="00B9152B" w:rsidP="00E847BA">
            <w:pPr>
              <w:jc w:val="center"/>
              <w:rPr>
                <w:szCs w:val="24"/>
              </w:rPr>
            </w:pPr>
            <w:r>
              <w:rPr>
                <w:szCs w:val="24"/>
              </w:rPr>
              <w:t>28 %</w:t>
            </w:r>
          </w:p>
        </w:tc>
        <w:tc>
          <w:tcPr>
            <w:tcW w:w="1240" w:type="dxa"/>
            <w:tcBorders>
              <w:top w:val="single" w:sz="4" w:space="0" w:color="4F81BD"/>
              <w:left w:val="nil"/>
              <w:bottom w:val="single" w:sz="4" w:space="0" w:color="4F81BD"/>
              <w:right w:val="nil"/>
            </w:tcBorders>
            <w:shd w:val="clear" w:color="auto" w:fill="auto"/>
            <w:noWrap/>
            <w:vAlign w:val="bottom"/>
          </w:tcPr>
          <w:p w14:paraId="2EE26B3D" w14:textId="77777777" w:rsidR="00B9152B" w:rsidRPr="00934AC9" w:rsidRDefault="00B9152B" w:rsidP="00E847BA">
            <w:pPr>
              <w:jc w:val="center"/>
              <w:rPr>
                <w:szCs w:val="24"/>
              </w:rPr>
            </w:pPr>
            <w:r>
              <w:rPr>
                <w:szCs w:val="24"/>
              </w:rPr>
              <w:t>30 %</w:t>
            </w:r>
          </w:p>
        </w:tc>
        <w:tc>
          <w:tcPr>
            <w:tcW w:w="1240" w:type="dxa"/>
            <w:tcBorders>
              <w:top w:val="single" w:sz="4" w:space="0" w:color="4F81BD"/>
              <w:left w:val="nil"/>
              <w:bottom w:val="single" w:sz="4" w:space="0" w:color="4F81BD"/>
              <w:right w:val="single" w:sz="4" w:space="0" w:color="4F81BD"/>
            </w:tcBorders>
            <w:shd w:val="clear" w:color="auto" w:fill="auto"/>
            <w:noWrap/>
            <w:vAlign w:val="bottom"/>
          </w:tcPr>
          <w:p w14:paraId="3F38D150" w14:textId="77777777" w:rsidR="00B9152B" w:rsidRPr="00934AC9" w:rsidRDefault="00B9152B" w:rsidP="00E847BA">
            <w:pPr>
              <w:jc w:val="center"/>
              <w:rPr>
                <w:szCs w:val="24"/>
              </w:rPr>
            </w:pPr>
            <w:r>
              <w:rPr>
                <w:szCs w:val="24"/>
              </w:rPr>
              <w:t>29 %</w:t>
            </w:r>
          </w:p>
        </w:tc>
      </w:tr>
    </w:tbl>
    <w:p w14:paraId="24BA8AEF" w14:textId="77777777" w:rsidR="00B9152B" w:rsidRPr="00934AC9" w:rsidRDefault="00B9152B" w:rsidP="00B9152B">
      <w:pPr>
        <w:rPr>
          <w:rFonts w:eastAsia="Calibri"/>
          <w:i/>
          <w:sz w:val="20"/>
        </w:rPr>
      </w:pPr>
      <w:r w:rsidRPr="00934AC9">
        <w:rPr>
          <w:rFonts w:eastAsia="Calibri"/>
          <w:i/>
          <w:sz w:val="20"/>
        </w:rPr>
        <w:t xml:space="preserve">Tabell 1: Fordeling av inntekter </w:t>
      </w:r>
      <w:r>
        <w:rPr>
          <w:rFonts w:eastAsia="Calibri"/>
          <w:i/>
          <w:sz w:val="20"/>
        </w:rPr>
        <w:t>de</w:t>
      </w:r>
      <w:r w:rsidRPr="00934AC9">
        <w:rPr>
          <w:rFonts w:eastAsia="Calibri"/>
          <w:i/>
          <w:sz w:val="20"/>
        </w:rPr>
        <w:t xml:space="preserve"> siste 3 år. </w:t>
      </w:r>
    </w:p>
    <w:p w14:paraId="2370ACF9" w14:textId="77777777" w:rsidR="00B9152B" w:rsidRDefault="00B9152B" w:rsidP="00B9152B">
      <w:pPr>
        <w:rPr>
          <w:rFonts w:eastAsia="Calibri"/>
          <w:szCs w:val="24"/>
        </w:rPr>
      </w:pPr>
    </w:p>
    <w:p w14:paraId="34A89523" w14:textId="77777777" w:rsidR="00B9152B" w:rsidRDefault="00B9152B" w:rsidP="00B9152B">
      <w:pPr>
        <w:rPr>
          <w:rFonts w:eastAsia="Calibri"/>
          <w:szCs w:val="24"/>
        </w:rPr>
      </w:pPr>
      <w:r w:rsidRPr="00934AC9">
        <w:rPr>
          <w:rFonts w:eastAsia="Calibri"/>
          <w:szCs w:val="24"/>
        </w:rPr>
        <w:t xml:space="preserve">Driftskostnadene er på kr </w:t>
      </w:r>
      <w:r>
        <w:rPr>
          <w:rFonts w:eastAsia="Calibri"/>
          <w:szCs w:val="24"/>
        </w:rPr>
        <w:t>5 930</w:t>
      </w:r>
      <w:r w:rsidRPr="00934AC9">
        <w:rPr>
          <w:rFonts w:eastAsia="Calibri"/>
          <w:szCs w:val="24"/>
        </w:rPr>
        <w:t xml:space="preserve"> mill.kr</w:t>
      </w:r>
      <w:r>
        <w:rPr>
          <w:rFonts w:eastAsia="Calibri"/>
          <w:szCs w:val="24"/>
        </w:rPr>
        <w:t xml:space="preserve">. og har økt med 264 mill. kr. (4,7%) fra i fjor. </w:t>
      </w:r>
      <w:r w:rsidRPr="00934AC9">
        <w:rPr>
          <w:rFonts w:eastAsia="Calibri"/>
          <w:szCs w:val="24"/>
        </w:rPr>
        <w:t xml:space="preserve"> </w:t>
      </w:r>
    </w:p>
    <w:p w14:paraId="426E40E6" w14:textId="77777777" w:rsidR="003F0416" w:rsidRDefault="003F0416" w:rsidP="003F0416">
      <w:pPr>
        <w:rPr>
          <w:rFonts w:eastAsia="Calibri"/>
          <w:szCs w:val="24"/>
        </w:rPr>
      </w:pPr>
      <w:r>
        <w:rPr>
          <w:rFonts w:eastAsia="Calibri"/>
          <w:szCs w:val="24"/>
        </w:rPr>
        <w:t>Avskrivninger </w:t>
      </w:r>
      <w:r w:rsidRPr="003F0416">
        <w:rPr>
          <w:rFonts w:eastAsia="Calibri"/>
          <w:szCs w:val="24"/>
        </w:rPr>
        <w:t>er på 603 mill kr., hvorav 391 mill kr gjelder bygninger.</w:t>
      </w:r>
    </w:p>
    <w:p w14:paraId="1ABC8196" w14:textId="77777777" w:rsidR="00B9152B" w:rsidRDefault="00B9152B" w:rsidP="00B9152B">
      <w:pPr>
        <w:rPr>
          <w:rFonts w:eastAsia="Calibri"/>
          <w:szCs w:val="24"/>
        </w:rPr>
      </w:pPr>
    </w:p>
    <w:p w14:paraId="4CC41CA7" w14:textId="77777777" w:rsidR="00B9152B" w:rsidRDefault="00B9152B" w:rsidP="00B9152B">
      <w:pPr>
        <w:rPr>
          <w:rFonts w:eastAsia="Calibri"/>
          <w:szCs w:val="24"/>
        </w:rPr>
      </w:pPr>
      <w:r>
        <w:rPr>
          <w:rFonts w:eastAsia="Calibri"/>
          <w:szCs w:val="24"/>
        </w:rPr>
        <w:t xml:space="preserve">Tabellen nedenfor viser den </w:t>
      </w:r>
      <w:r w:rsidRPr="00934AC9">
        <w:rPr>
          <w:rFonts w:eastAsia="Calibri"/>
          <w:szCs w:val="24"/>
        </w:rPr>
        <w:t xml:space="preserve">forholdsmessige </w:t>
      </w:r>
      <w:r>
        <w:rPr>
          <w:rFonts w:eastAsia="Calibri"/>
          <w:szCs w:val="24"/>
        </w:rPr>
        <w:t>u</w:t>
      </w:r>
      <w:r w:rsidRPr="00934AC9">
        <w:rPr>
          <w:rFonts w:eastAsia="Calibri"/>
          <w:szCs w:val="24"/>
        </w:rPr>
        <w:t>tvikling</w:t>
      </w:r>
      <w:r>
        <w:rPr>
          <w:rFonts w:eastAsia="Calibri"/>
          <w:szCs w:val="24"/>
        </w:rPr>
        <w:t xml:space="preserve">en </w:t>
      </w:r>
      <w:r w:rsidRPr="00934AC9">
        <w:rPr>
          <w:rFonts w:eastAsia="Calibri"/>
          <w:szCs w:val="24"/>
        </w:rPr>
        <w:t xml:space="preserve">i </w:t>
      </w:r>
      <w:r>
        <w:rPr>
          <w:rFonts w:eastAsia="Calibri"/>
          <w:szCs w:val="24"/>
        </w:rPr>
        <w:t>driftskostnader de siste 3 år.</w:t>
      </w:r>
      <w:r w:rsidRPr="00934AC9">
        <w:rPr>
          <w:rFonts w:eastAsia="Calibri"/>
          <w:szCs w:val="24"/>
        </w:rPr>
        <w:t xml:space="preserve"> </w:t>
      </w:r>
    </w:p>
    <w:tbl>
      <w:tblPr>
        <w:tblW w:w="6760" w:type="dxa"/>
        <w:tblCellMar>
          <w:left w:w="70" w:type="dxa"/>
          <w:right w:w="70" w:type="dxa"/>
        </w:tblCellMar>
        <w:tblLook w:val="04A0" w:firstRow="1" w:lastRow="0" w:firstColumn="1" w:lastColumn="0" w:noHBand="0" w:noVBand="1"/>
      </w:tblPr>
      <w:tblGrid>
        <w:gridCol w:w="3040"/>
        <w:gridCol w:w="1240"/>
        <w:gridCol w:w="1240"/>
        <w:gridCol w:w="1240"/>
      </w:tblGrid>
      <w:tr w:rsidR="00B9152B" w:rsidRPr="00934AC9" w14:paraId="11BDEA86" w14:textId="77777777" w:rsidTr="00E847BA">
        <w:trPr>
          <w:trHeight w:val="255"/>
        </w:trPr>
        <w:tc>
          <w:tcPr>
            <w:tcW w:w="3040" w:type="dxa"/>
            <w:tcBorders>
              <w:top w:val="single" w:sz="4" w:space="0" w:color="4F81BD"/>
              <w:left w:val="single" w:sz="4" w:space="0" w:color="4F81BD"/>
              <w:bottom w:val="nil"/>
              <w:right w:val="nil"/>
            </w:tcBorders>
            <w:shd w:val="clear" w:color="DCE6F1" w:fill="DCE6F1"/>
            <w:noWrap/>
            <w:vAlign w:val="bottom"/>
            <w:hideMark/>
          </w:tcPr>
          <w:p w14:paraId="1A8BFF3F" w14:textId="77777777" w:rsidR="00B9152B" w:rsidRPr="00934AC9" w:rsidRDefault="00B9152B" w:rsidP="00E847BA">
            <w:pPr>
              <w:rPr>
                <w:b/>
                <w:bCs/>
                <w:szCs w:val="24"/>
              </w:rPr>
            </w:pPr>
          </w:p>
        </w:tc>
        <w:tc>
          <w:tcPr>
            <w:tcW w:w="1240" w:type="dxa"/>
            <w:tcBorders>
              <w:top w:val="single" w:sz="4" w:space="0" w:color="4F81BD"/>
              <w:left w:val="nil"/>
              <w:bottom w:val="nil"/>
              <w:right w:val="nil"/>
            </w:tcBorders>
            <w:shd w:val="clear" w:color="DCE6F1" w:fill="DCE6F1"/>
          </w:tcPr>
          <w:p w14:paraId="07CBDFCB" w14:textId="77777777" w:rsidR="00B9152B" w:rsidRPr="00934AC9" w:rsidRDefault="00B9152B" w:rsidP="00E847BA">
            <w:pPr>
              <w:jc w:val="center"/>
              <w:rPr>
                <w:b/>
                <w:bCs/>
                <w:szCs w:val="24"/>
              </w:rPr>
            </w:pPr>
            <w:r w:rsidRPr="00934AC9">
              <w:rPr>
                <w:b/>
                <w:bCs/>
                <w:szCs w:val="24"/>
              </w:rPr>
              <w:t>201</w:t>
            </w:r>
            <w:r>
              <w:rPr>
                <w:b/>
                <w:bCs/>
                <w:szCs w:val="24"/>
              </w:rPr>
              <w:t>4</w:t>
            </w:r>
          </w:p>
        </w:tc>
        <w:tc>
          <w:tcPr>
            <w:tcW w:w="1240" w:type="dxa"/>
            <w:tcBorders>
              <w:top w:val="single" w:sz="4" w:space="0" w:color="4F81BD"/>
              <w:left w:val="nil"/>
              <w:bottom w:val="nil"/>
              <w:right w:val="nil"/>
            </w:tcBorders>
            <w:shd w:val="clear" w:color="DCE6F1" w:fill="DCE6F1"/>
            <w:noWrap/>
            <w:vAlign w:val="bottom"/>
            <w:hideMark/>
          </w:tcPr>
          <w:p w14:paraId="3355224C" w14:textId="77777777" w:rsidR="00B9152B" w:rsidRPr="00934AC9" w:rsidRDefault="00B9152B" w:rsidP="00E847BA">
            <w:pPr>
              <w:jc w:val="center"/>
              <w:rPr>
                <w:b/>
                <w:bCs/>
                <w:szCs w:val="24"/>
              </w:rPr>
            </w:pPr>
            <w:r w:rsidRPr="00934AC9">
              <w:rPr>
                <w:b/>
                <w:bCs/>
                <w:szCs w:val="24"/>
              </w:rPr>
              <w:t>201</w:t>
            </w:r>
            <w:r>
              <w:rPr>
                <w:b/>
                <w:bCs/>
                <w:szCs w:val="24"/>
              </w:rPr>
              <w:t>3</w:t>
            </w:r>
          </w:p>
        </w:tc>
        <w:tc>
          <w:tcPr>
            <w:tcW w:w="1240" w:type="dxa"/>
            <w:tcBorders>
              <w:top w:val="single" w:sz="4" w:space="0" w:color="4F81BD"/>
              <w:left w:val="nil"/>
              <w:bottom w:val="nil"/>
              <w:right w:val="single" w:sz="4" w:space="0" w:color="4F81BD"/>
            </w:tcBorders>
            <w:shd w:val="clear" w:color="DCE6F1" w:fill="DCE6F1"/>
            <w:noWrap/>
            <w:vAlign w:val="bottom"/>
            <w:hideMark/>
          </w:tcPr>
          <w:p w14:paraId="6411963F" w14:textId="77777777" w:rsidR="00B9152B" w:rsidRPr="00934AC9" w:rsidRDefault="00B9152B" w:rsidP="00E847BA">
            <w:pPr>
              <w:jc w:val="center"/>
              <w:rPr>
                <w:b/>
                <w:bCs/>
                <w:szCs w:val="24"/>
              </w:rPr>
            </w:pPr>
            <w:r w:rsidRPr="00934AC9">
              <w:rPr>
                <w:b/>
                <w:bCs/>
                <w:szCs w:val="24"/>
              </w:rPr>
              <w:t>201</w:t>
            </w:r>
            <w:r>
              <w:rPr>
                <w:b/>
                <w:bCs/>
                <w:szCs w:val="24"/>
              </w:rPr>
              <w:t>2</w:t>
            </w:r>
          </w:p>
        </w:tc>
      </w:tr>
      <w:tr w:rsidR="00B9152B" w:rsidRPr="00934AC9" w14:paraId="5E0B4027" w14:textId="77777777" w:rsidTr="00E847BA">
        <w:trPr>
          <w:trHeight w:val="255"/>
        </w:trPr>
        <w:tc>
          <w:tcPr>
            <w:tcW w:w="3040" w:type="dxa"/>
            <w:tcBorders>
              <w:top w:val="single" w:sz="4" w:space="0" w:color="4F81BD"/>
              <w:left w:val="single" w:sz="4" w:space="0" w:color="4F81BD"/>
              <w:bottom w:val="nil"/>
              <w:right w:val="nil"/>
            </w:tcBorders>
            <w:shd w:val="clear" w:color="auto" w:fill="auto"/>
            <w:noWrap/>
            <w:vAlign w:val="bottom"/>
            <w:hideMark/>
          </w:tcPr>
          <w:p w14:paraId="3DDABEEB" w14:textId="77777777" w:rsidR="00B9152B" w:rsidRPr="00934AC9" w:rsidRDefault="00B9152B" w:rsidP="00E847BA">
            <w:pPr>
              <w:rPr>
                <w:szCs w:val="24"/>
              </w:rPr>
            </w:pPr>
            <w:r w:rsidRPr="00934AC9">
              <w:rPr>
                <w:szCs w:val="24"/>
              </w:rPr>
              <w:t>Lønn og sosiale kostnader</w:t>
            </w:r>
          </w:p>
        </w:tc>
        <w:tc>
          <w:tcPr>
            <w:tcW w:w="1240" w:type="dxa"/>
            <w:tcBorders>
              <w:top w:val="single" w:sz="4" w:space="0" w:color="4F81BD"/>
              <w:left w:val="nil"/>
              <w:bottom w:val="nil"/>
              <w:right w:val="nil"/>
            </w:tcBorders>
          </w:tcPr>
          <w:p w14:paraId="0BDB059B" w14:textId="77777777" w:rsidR="00B9152B" w:rsidRPr="00934AC9" w:rsidRDefault="00B9152B" w:rsidP="00E847BA">
            <w:pPr>
              <w:jc w:val="center"/>
              <w:rPr>
                <w:szCs w:val="24"/>
              </w:rPr>
            </w:pPr>
            <w:r>
              <w:rPr>
                <w:szCs w:val="24"/>
              </w:rPr>
              <w:t>63 %</w:t>
            </w:r>
          </w:p>
        </w:tc>
        <w:tc>
          <w:tcPr>
            <w:tcW w:w="1240" w:type="dxa"/>
            <w:tcBorders>
              <w:top w:val="single" w:sz="4" w:space="0" w:color="4F81BD"/>
              <w:left w:val="nil"/>
              <w:bottom w:val="nil"/>
              <w:right w:val="nil"/>
            </w:tcBorders>
            <w:shd w:val="clear" w:color="auto" w:fill="auto"/>
            <w:noWrap/>
          </w:tcPr>
          <w:p w14:paraId="6C72C2AE" w14:textId="77777777" w:rsidR="00B9152B" w:rsidRPr="00934AC9" w:rsidRDefault="00B9152B" w:rsidP="00E847BA">
            <w:pPr>
              <w:jc w:val="center"/>
              <w:rPr>
                <w:szCs w:val="24"/>
              </w:rPr>
            </w:pPr>
            <w:r>
              <w:rPr>
                <w:szCs w:val="24"/>
              </w:rPr>
              <w:t>63 %</w:t>
            </w:r>
          </w:p>
        </w:tc>
        <w:tc>
          <w:tcPr>
            <w:tcW w:w="1240" w:type="dxa"/>
            <w:tcBorders>
              <w:top w:val="single" w:sz="4" w:space="0" w:color="4F81BD"/>
              <w:left w:val="nil"/>
              <w:bottom w:val="nil"/>
              <w:right w:val="single" w:sz="4" w:space="0" w:color="4F81BD"/>
            </w:tcBorders>
            <w:shd w:val="clear" w:color="auto" w:fill="auto"/>
            <w:noWrap/>
            <w:vAlign w:val="bottom"/>
          </w:tcPr>
          <w:p w14:paraId="09A36FF8" w14:textId="77777777" w:rsidR="00B9152B" w:rsidRPr="00934AC9" w:rsidRDefault="00B9152B" w:rsidP="00E847BA">
            <w:pPr>
              <w:jc w:val="center"/>
              <w:rPr>
                <w:szCs w:val="24"/>
              </w:rPr>
            </w:pPr>
            <w:r>
              <w:rPr>
                <w:szCs w:val="24"/>
              </w:rPr>
              <w:t>63 %</w:t>
            </w:r>
          </w:p>
        </w:tc>
      </w:tr>
      <w:tr w:rsidR="00B9152B" w:rsidRPr="00934AC9" w14:paraId="7BFBEA98" w14:textId="77777777" w:rsidTr="00E847BA">
        <w:trPr>
          <w:trHeight w:val="255"/>
        </w:trPr>
        <w:tc>
          <w:tcPr>
            <w:tcW w:w="3040" w:type="dxa"/>
            <w:tcBorders>
              <w:top w:val="single" w:sz="4" w:space="0" w:color="4F81BD"/>
              <w:left w:val="single" w:sz="4" w:space="0" w:color="4F81BD"/>
              <w:bottom w:val="nil"/>
              <w:right w:val="nil"/>
            </w:tcBorders>
            <w:shd w:val="clear" w:color="auto" w:fill="auto"/>
            <w:noWrap/>
            <w:vAlign w:val="bottom"/>
            <w:hideMark/>
          </w:tcPr>
          <w:p w14:paraId="70A907CF" w14:textId="77777777" w:rsidR="00B9152B" w:rsidRPr="00934AC9" w:rsidRDefault="00B9152B" w:rsidP="00E847BA">
            <w:pPr>
              <w:rPr>
                <w:szCs w:val="24"/>
              </w:rPr>
            </w:pPr>
            <w:r w:rsidRPr="00934AC9">
              <w:rPr>
                <w:szCs w:val="24"/>
              </w:rPr>
              <w:t>Andre driftskostnader</w:t>
            </w:r>
          </w:p>
        </w:tc>
        <w:tc>
          <w:tcPr>
            <w:tcW w:w="1240" w:type="dxa"/>
            <w:tcBorders>
              <w:top w:val="single" w:sz="4" w:space="0" w:color="4F81BD"/>
              <w:left w:val="nil"/>
              <w:bottom w:val="nil"/>
              <w:right w:val="nil"/>
            </w:tcBorders>
          </w:tcPr>
          <w:p w14:paraId="1F9D82C4" w14:textId="77777777" w:rsidR="00B9152B" w:rsidRPr="00934AC9" w:rsidRDefault="00B9152B" w:rsidP="00E847BA">
            <w:pPr>
              <w:jc w:val="center"/>
              <w:rPr>
                <w:szCs w:val="24"/>
              </w:rPr>
            </w:pPr>
            <w:r w:rsidRPr="00934AC9">
              <w:rPr>
                <w:szCs w:val="24"/>
              </w:rPr>
              <w:t>2</w:t>
            </w:r>
            <w:r>
              <w:rPr>
                <w:szCs w:val="24"/>
              </w:rPr>
              <w:t>7</w:t>
            </w:r>
            <w:r w:rsidRPr="00934AC9">
              <w:rPr>
                <w:szCs w:val="24"/>
              </w:rPr>
              <w:t xml:space="preserve"> %</w:t>
            </w:r>
          </w:p>
        </w:tc>
        <w:tc>
          <w:tcPr>
            <w:tcW w:w="1240" w:type="dxa"/>
            <w:tcBorders>
              <w:top w:val="single" w:sz="4" w:space="0" w:color="4F81BD"/>
              <w:left w:val="nil"/>
              <w:bottom w:val="nil"/>
              <w:right w:val="nil"/>
            </w:tcBorders>
            <w:shd w:val="clear" w:color="auto" w:fill="auto"/>
            <w:noWrap/>
            <w:hideMark/>
          </w:tcPr>
          <w:p w14:paraId="78AE68B3" w14:textId="77777777" w:rsidR="00B9152B" w:rsidRPr="00934AC9" w:rsidRDefault="00B9152B" w:rsidP="00E847BA">
            <w:pPr>
              <w:jc w:val="center"/>
              <w:rPr>
                <w:szCs w:val="24"/>
              </w:rPr>
            </w:pPr>
            <w:r w:rsidRPr="00934AC9">
              <w:rPr>
                <w:szCs w:val="24"/>
              </w:rPr>
              <w:t>2</w:t>
            </w:r>
            <w:r>
              <w:rPr>
                <w:szCs w:val="24"/>
              </w:rPr>
              <w:t>7</w:t>
            </w:r>
            <w:r w:rsidRPr="00934AC9">
              <w:rPr>
                <w:szCs w:val="24"/>
              </w:rPr>
              <w:t xml:space="preserve"> %</w:t>
            </w:r>
          </w:p>
        </w:tc>
        <w:tc>
          <w:tcPr>
            <w:tcW w:w="1240" w:type="dxa"/>
            <w:tcBorders>
              <w:top w:val="single" w:sz="4" w:space="0" w:color="4F81BD"/>
              <w:left w:val="nil"/>
              <w:bottom w:val="nil"/>
              <w:right w:val="single" w:sz="4" w:space="0" w:color="4F81BD"/>
            </w:tcBorders>
            <w:shd w:val="clear" w:color="auto" w:fill="auto"/>
            <w:noWrap/>
            <w:vAlign w:val="bottom"/>
            <w:hideMark/>
          </w:tcPr>
          <w:p w14:paraId="55F39084" w14:textId="77777777" w:rsidR="00B9152B" w:rsidRPr="00934AC9" w:rsidRDefault="00B9152B" w:rsidP="00E847BA">
            <w:pPr>
              <w:jc w:val="center"/>
              <w:rPr>
                <w:szCs w:val="24"/>
              </w:rPr>
            </w:pPr>
            <w:r w:rsidRPr="00934AC9">
              <w:rPr>
                <w:szCs w:val="24"/>
              </w:rPr>
              <w:t>2</w:t>
            </w:r>
            <w:r>
              <w:rPr>
                <w:szCs w:val="24"/>
              </w:rPr>
              <w:t>6</w:t>
            </w:r>
            <w:r w:rsidRPr="00934AC9">
              <w:rPr>
                <w:szCs w:val="24"/>
              </w:rPr>
              <w:t xml:space="preserve"> %</w:t>
            </w:r>
          </w:p>
        </w:tc>
      </w:tr>
      <w:tr w:rsidR="00B9152B" w:rsidRPr="00934AC9" w14:paraId="6E656B53" w14:textId="77777777" w:rsidTr="00E847BA">
        <w:trPr>
          <w:trHeight w:val="255"/>
        </w:trPr>
        <w:tc>
          <w:tcPr>
            <w:tcW w:w="3040" w:type="dxa"/>
            <w:tcBorders>
              <w:top w:val="single" w:sz="4" w:space="0" w:color="4F81BD"/>
              <w:left w:val="single" w:sz="4" w:space="0" w:color="4F81BD"/>
              <w:bottom w:val="single" w:sz="4" w:space="0" w:color="4F81BD"/>
              <w:right w:val="nil"/>
            </w:tcBorders>
            <w:shd w:val="clear" w:color="auto" w:fill="auto"/>
            <w:noWrap/>
            <w:vAlign w:val="bottom"/>
            <w:hideMark/>
          </w:tcPr>
          <w:p w14:paraId="0A63D6D6" w14:textId="77777777" w:rsidR="00B9152B" w:rsidRPr="00934AC9" w:rsidRDefault="00B9152B" w:rsidP="00E847BA">
            <w:pPr>
              <w:rPr>
                <w:szCs w:val="24"/>
              </w:rPr>
            </w:pPr>
            <w:r w:rsidRPr="00934AC9">
              <w:rPr>
                <w:szCs w:val="24"/>
              </w:rPr>
              <w:t>Avskrivninger</w:t>
            </w:r>
          </w:p>
        </w:tc>
        <w:tc>
          <w:tcPr>
            <w:tcW w:w="1240" w:type="dxa"/>
            <w:tcBorders>
              <w:top w:val="single" w:sz="4" w:space="0" w:color="4F81BD"/>
              <w:left w:val="nil"/>
              <w:bottom w:val="single" w:sz="4" w:space="0" w:color="4F81BD"/>
              <w:right w:val="nil"/>
            </w:tcBorders>
          </w:tcPr>
          <w:p w14:paraId="33358EE8" w14:textId="77777777" w:rsidR="00B9152B" w:rsidRPr="00934AC9" w:rsidRDefault="00B9152B" w:rsidP="00E847BA">
            <w:pPr>
              <w:jc w:val="center"/>
              <w:rPr>
                <w:szCs w:val="24"/>
              </w:rPr>
            </w:pPr>
            <w:r w:rsidRPr="00934AC9">
              <w:rPr>
                <w:szCs w:val="24"/>
              </w:rPr>
              <w:t>1</w:t>
            </w:r>
            <w:r>
              <w:rPr>
                <w:szCs w:val="24"/>
              </w:rPr>
              <w:t>0</w:t>
            </w:r>
            <w:r w:rsidRPr="00934AC9">
              <w:rPr>
                <w:szCs w:val="24"/>
              </w:rPr>
              <w:t xml:space="preserve"> %</w:t>
            </w:r>
          </w:p>
        </w:tc>
        <w:tc>
          <w:tcPr>
            <w:tcW w:w="1240" w:type="dxa"/>
            <w:tcBorders>
              <w:top w:val="single" w:sz="4" w:space="0" w:color="4F81BD"/>
              <w:left w:val="nil"/>
              <w:bottom w:val="single" w:sz="4" w:space="0" w:color="4F81BD"/>
              <w:right w:val="nil"/>
            </w:tcBorders>
            <w:shd w:val="clear" w:color="auto" w:fill="auto"/>
            <w:noWrap/>
            <w:hideMark/>
          </w:tcPr>
          <w:p w14:paraId="28B838D8" w14:textId="77777777" w:rsidR="00B9152B" w:rsidRPr="00934AC9" w:rsidRDefault="00B9152B" w:rsidP="00E847BA">
            <w:pPr>
              <w:jc w:val="center"/>
              <w:rPr>
                <w:szCs w:val="24"/>
              </w:rPr>
            </w:pPr>
            <w:r w:rsidRPr="00934AC9">
              <w:rPr>
                <w:szCs w:val="24"/>
              </w:rPr>
              <w:t>1</w:t>
            </w:r>
            <w:r>
              <w:rPr>
                <w:szCs w:val="24"/>
              </w:rPr>
              <w:t>0</w:t>
            </w:r>
            <w:r w:rsidRPr="00934AC9">
              <w:rPr>
                <w:szCs w:val="24"/>
              </w:rPr>
              <w:t xml:space="preserve"> %</w:t>
            </w:r>
          </w:p>
        </w:tc>
        <w:tc>
          <w:tcPr>
            <w:tcW w:w="1240" w:type="dxa"/>
            <w:tcBorders>
              <w:top w:val="single" w:sz="4" w:space="0" w:color="4F81BD"/>
              <w:left w:val="nil"/>
              <w:bottom w:val="single" w:sz="4" w:space="0" w:color="4F81BD"/>
              <w:right w:val="single" w:sz="4" w:space="0" w:color="4F81BD"/>
            </w:tcBorders>
            <w:shd w:val="clear" w:color="auto" w:fill="auto"/>
            <w:noWrap/>
            <w:vAlign w:val="bottom"/>
            <w:hideMark/>
          </w:tcPr>
          <w:p w14:paraId="3E6972C9" w14:textId="77777777" w:rsidR="00B9152B" w:rsidRPr="00934AC9" w:rsidRDefault="00B9152B" w:rsidP="00E847BA">
            <w:pPr>
              <w:jc w:val="center"/>
              <w:rPr>
                <w:szCs w:val="24"/>
              </w:rPr>
            </w:pPr>
            <w:r w:rsidRPr="00934AC9">
              <w:rPr>
                <w:szCs w:val="24"/>
              </w:rPr>
              <w:t>1</w:t>
            </w:r>
            <w:r>
              <w:rPr>
                <w:szCs w:val="24"/>
              </w:rPr>
              <w:t>1</w:t>
            </w:r>
            <w:r w:rsidRPr="00934AC9">
              <w:rPr>
                <w:szCs w:val="24"/>
              </w:rPr>
              <w:t xml:space="preserve"> %</w:t>
            </w:r>
          </w:p>
        </w:tc>
      </w:tr>
    </w:tbl>
    <w:p w14:paraId="43D334FB" w14:textId="77777777" w:rsidR="00B9152B" w:rsidRDefault="00B9152B" w:rsidP="00B9152B">
      <w:pPr>
        <w:rPr>
          <w:rFonts w:eastAsia="Calibri"/>
          <w:i/>
          <w:sz w:val="20"/>
        </w:rPr>
      </w:pPr>
      <w:r w:rsidRPr="00934AC9">
        <w:rPr>
          <w:rFonts w:eastAsia="Calibri"/>
          <w:i/>
          <w:sz w:val="20"/>
        </w:rPr>
        <w:t>Tabell 2: Fordeling mellom ulike kostnadsgrupper de siste 3 år</w:t>
      </w:r>
    </w:p>
    <w:p w14:paraId="18A45555" w14:textId="77777777" w:rsidR="00B9152B" w:rsidRPr="00024AA8" w:rsidRDefault="00B9152B" w:rsidP="00B9152B">
      <w:pPr>
        <w:rPr>
          <w:rFonts w:eastAsia="Calibri"/>
          <w:sz w:val="20"/>
        </w:rPr>
      </w:pPr>
    </w:p>
    <w:p w14:paraId="736A50AD" w14:textId="77777777" w:rsidR="003F0416" w:rsidRDefault="00B9152B" w:rsidP="00B9152B">
      <w:pPr>
        <w:rPr>
          <w:rFonts w:eastAsia="Calibri"/>
          <w:szCs w:val="24"/>
        </w:rPr>
      </w:pPr>
      <w:r>
        <w:rPr>
          <w:rFonts w:eastAsia="Calibri"/>
          <w:szCs w:val="24"/>
        </w:rPr>
        <w:t>Den prosentvise fordelingen av lønnskostnader og andre driftskostnader utvikler seg tilnærmet likt i forhold til de totale driftskostnader.</w:t>
      </w:r>
    </w:p>
    <w:p w14:paraId="50A602E5" w14:textId="77777777" w:rsidR="00B9152B" w:rsidRDefault="00B9152B" w:rsidP="00B9152B">
      <w:pPr>
        <w:rPr>
          <w:rFonts w:eastAsia="Calibri"/>
          <w:szCs w:val="24"/>
        </w:rPr>
      </w:pPr>
    </w:p>
    <w:p w14:paraId="0BC9E363" w14:textId="77777777" w:rsidR="00B9152B" w:rsidRDefault="00B9152B" w:rsidP="00B9152B">
      <w:pPr>
        <w:rPr>
          <w:rFonts w:eastAsia="Calibri"/>
          <w:szCs w:val="24"/>
        </w:rPr>
      </w:pPr>
      <w:r>
        <w:rPr>
          <w:rFonts w:eastAsia="Calibri"/>
          <w:szCs w:val="24"/>
        </w:rPr>
        <w:t>Tabellen nedenfor viser utviklingen i lønnskostnader og antall årsverk de siste 3 år.</w:t>
      </w:r>
    </w:p>
    <w:tbl>
      <w:tblPr>
        <w:tblW w:w="6760" w:type="dxa"/>
        <w:tblCellMar>
          <w:left w:w="70" w:type="dxa"/>
          <w:right w:w="70" w:type="dxa"/>
        </w:tblCellMar>
        <w:tblLook w:val="04A0" w:firstRow="1" w:lastRow="0" w:firstColumn="1" w:lastColumn="0" w:noHBand="0" w:noVBand="1"/>
      </w:tblPr>
      <w:tblGrid>
        <w:gridCol w:w="3040"/>
        <w:gridCol w:w="1240"/>
        <w:gridCol w:w="1240"/>
        <w:gridCol w:w="1240"/>
      </w:tblGrid>
      <w:tr w:rsidR="00B9152B" w:rsidRPr="00934AC9" w14:paraId="061D1D79" w14:textId="77777777" w:rsidTr="00E847BA">
        <w:trPr>
          <w:trHeight w:val="255"/>
        </w:trPr>
        <w:tc>
          <w:tcPr>
            <w:tcW w:w="3040" w:type="dxa"/>
            <w:tcBorders>
              <w:top w:val="single" w:sz="4" w:space="0" w:color="4F81BD"/>
              <w:left w:val="single" w:sz="4" w:space="0" w:color="4F81BD"/>
              <w:bottom w:val="single" w:sz="4" w:space="0" w:color="4F81BD"/>
              <w:right w:val="nil"/>
            </w:tcBorders>
            <w:shd w:val="clear" w:color="DCE6F1" w:fill="DCE6F1"/>
            <w:noWrap/>
            <w:vAlign w:val="bottom"/>
            <w:hideMark/>
          </w:tcPr>
          <w:p w14:paraId="5B24F86C" w14:textId="77777777" w:rsidR="00B9152B" w:rsidRPr="00934AC9" w:rsidRDefault="00B9152B" w:rsidP="00E847BA">
            <w:pPr>
              <w:rPr>
                <w:b/>
                <w:bCs/>
                <w:szCs w:val="24"/>
              </w:rPr>
            </w:pPr>
          </w:p>
        </w:tc>
        <w:tc>
          <w:tcPr>
            <w:tcW w:w="1240" w:type="dxa"/>
            <w:tcBorders>
              <w:top w:val="single" w:sz="4" w:space="0" w:color="4F81BD"/>
              <w:left w:val="nil"/>
              <w:bottom w:val="single" w:sz="4" w:space="0" w:color="4F81BD"/>
              <w:right w:val="nil"/>
            </w:tcBorders>
            <w:shd w:val="clear" w:color="DCE6F1" w:fill="DCE6F1"/>
          </w:tcPr>
          <w:p w14:paraId="345B2E90" w14:textId="77777777" w:rsidR="00B9152B" w:rsidRPr="00934AC9" w:rsidRDefault="00B9152B" w:rsidP="00E847BA">
            <w:pPr>
              <w:jc w:val="center"/>
              <w:rPr>
                <w:b/>
                <w:bCs/>
                <w:szCs w:val="24"/>
              </w:rPr>
            </w:pPr>
            <w:r w:rsidRPr="00934AC9">
              <w:rPr>
                <w:b/>
                <w:bCs/>
                <w:szCs w:val="24"/>
              </w:rPr>
              <w:t>201</w:t>
            </w:r>
            <w:r>
              <w:rPr>
                <w:b/>
                <w:bCs/>
                <w:szCs w:val="24"/>
              </w:rPr>
              <w:t>4</w:t>
            </w:r>
          </w:p>
        </w:tc>
        <w:tc>
          <w:tcPr>
            <w:tcW w:w="1240" w:type="dxa"/>
            <w:tcBorders>
              <w:top w:val="single" w:sz="4" w:space="0" w:color="4F81BD"/>
              <w:left w:val="nil"/>
              <w:bottom w:val="single" w:sz="4" w:space="0" w:color="4F81BD"/>
              <w:right w:val="nil"/>
            </w:tcBorders>
            <w:shd w:val="clear" w:color="DCE6F1" w:fill="DCE6F1"/>
            <w:noWrap/>
            <w:vAlign w:val="bottom"/>
            <w:hideMark/>
          </w:tcPr>
          <w:p w14:paraId="2916104C" w14:textId="77777777" w:rsidR="00B9152B" w:rsidRPr="00934AC9" w:rsidRDefault="00B9152B" w:rsidP="00E847BA">
            <w:pPr>
              <w:jc w:val="center"/>
              <w:rPr>
                <w:b/>
                <w:bCs/>
                <w:szCs w:val="24"/>
              </w:rPr>
            </w:pPr>
            <w:r w:rsidRPr="00934AC9">
              <w:rPr>
                <w:b/>
                <w:bCs/>
                <w:szCs w:val="24"/>
              </w:rPr>
              <w:t>201</w:t>
            </w:r>
            <w:r>
              <w:rPr>
                <w:b/>
                <w:bCs/>
                <w:szCs w:val="24"/>
              </w:rPr>
              <w:t>3</w:t>
            </w:r>
          </w:p>
        </w:tc>
        <w:tc>
          <w:tcPr>
            <w:tcW w:w="1240" w:type="dxa"/>
            <w:tcBorders>
              <w:top w:val="single" w:sz="4" w:space="0" w:color="4F81BD"/>
              <w:left w:val="nil"/>
              <w:bottom w:val="single" w:sz="4" w:space="0" w:color="4F81BD"/>
              <w:right w:val="single" w:sz="4" w:space="0" w:color="4F81BD"/>
            </w:tcBorders>
            <w:shd w:val="clear" w:color="DCE6F1" w:fill="DCE6F1"/>
            <w:noWrap/>
            <w:vAlign w:val="bottom"/>
            <w:hideMark/>
          </w:tcPr>
          <w:p w14:paraId="4E7C001C" w14:textId="77777777" w:rsidR="00B9152B" w:rsidRPr="00934AC9" w:rsidRDefault="00B9152B" w:rsidP="00E847BA">
            <w:pPr>
              <w:jc w:val="center"/>
              <w:rPr>
                <w:b/>
                <w:bCs/>
                <w:szCs w:val="24"/>
              </w:rPr>
            </w:pPr>
            <w:r w:rsidRPr="00934AC9">
              <w:rPr>
                <w:b/>
                <w:bCs/>
                <w:szCs w:val="24"/>
              </w:rPr>
              <w:t>201</w:t>
            </w:r>
            <w:r>
              <w:rPr>
                <w:b/>
                <w:bCs/>
                <w:szCs w:val="24"/>
              </w:rPr>
              <w:t>2</w:t>
            </w:r>
          </w:p>
        </w:tc>
      </w:tr>
      <w:tr w:rsidR="00B9152B" w:rsidRPr="00934AC9" w14:paraId="2D320CDB" w14:textId="77777777" w:rsidTr="00E847BA">
        <w:trPr>
          <w:trHeight w:val="255"/>
        </w:trPr>
        <w:tc>
          <w:tcPr>
            <w:tcW w:w="3040" w:type="dxa"/>
            <w:tcBorders>
              <w:top w:val="single" w:sz="4" w:space="0" w:color="4F81BD"/>
              <w:left w:val="single" w:sz="4" w:space="0" w:color="4F81BD"/>
              <w:bottom w:val="single" w:sz="4" w:space="0" w:color="4F81BD"/>
              <w:right w:val="nil"/>
            </w:tcBorders>
            <w:shd w:val="clear" w:color="auto" w:fill="auto"/>
            <w:noWrap/>
            <w:vAlign w:val="bottom"/>
          </w:tcPr>
          <w:p w14:paraId="260062A1" w14:textId="77777777" w:rsidR="00B9152B" w:rsidRPr="00934AC9" w:rsidRDefault="00B9152B" w:rsidP="00E847BA">
            <w:pPr>
              <w:rPr>
                <w:szCs w:val="24"/>
              </w:rPr>
            </w:pPr>
            <w:r>
              <w:rPr>
                <w:szCs w:val="24"/>
              </w:rPr>
              <w:t>Lønnskostnader (mill.kr)</w:t>
            </w:r>
          </w:p>
        </w:tc>
        <w:tc>
          <w:tcPr>
            <w:tcW w:w="1240" w:type="dxa"/>
            <w:tcBorders>
              <w:top w:val="single" w:sz="4" w:space="0" w:color="4F81BD"/>
              <w:left w:val="nil"/>
              <w:bottom w:val="single" w:sz="4" w:space="0" w:color="4F81BD"/>
              <w:right w:val="nil"/>
            </w:tcBorders>
          </w:tcPr>
          <w:p w14:paraId="77D492C0" w14:textId="77777777" w:rsidR="00B9152B" w:rsidRPr="00934AC9" w:rsidRDefault="00B9152B" w:rsidP="00E847BA">
            <w:pPr>
              <w:jc w:val="center"/>
              <w:rPr>
                <w:szCs w:val="24"/>
              </w:rPr>
            </w:pPr>
            <w:r>
              <w:rPr>
                <w:szCs w:val="24"/>
              </w:rPr>
              <w:t>3 762</w:t>
            </w:r>
          </w:p>
        </w:tc>
        <w:tc>
          <w:tcPr>
            <w:tcW w:w="1240" w:type="dxa"/>
            <w:tcBorders>
              <w:top w:val="single" w:sz="4" w:space="0" w:color="4F81BD"/>
              <w:left w:val="nil"/>
              <w:bottom w:val="single" w:sz="4" w:space="0" w:color="4F81BD"/>
              <w:right w:val="nil"/>
            </w:tcBorders>
            <w:shd w:val="clear" w:color="auto" w:fill="auto"/>
            <w:noWrap/>
          </w:tcPr>
          <w:p w14:paraId="310ECEE8" w14:textId="77777777" w:rsidR="00B9152B" w:rsidRPr="00934AC9" w:rsidRDefault="00B9152B" w:rsidP="00E847BA">
            <w:pPr>
              <w:jc w:val="center"/>
              <w:rPr>
                <w:szCs w:val="24"/>
              </w:rPr>
            </w:pPr>
            <w:r>
              <w:rPr>
                <w:szCs w:val="24"/>
              </w:rPr>
              <w:t>3 569</w:t>
            </w:r>
          </w:p>
        </w:tc>
        <w:tc>
          <w:tcPr>
            <w:tcW w:w="1240" w:type="dxa"/>
            <w:tcBorders>
              <w:top w:val="single" w:sz="4" w:space="0" w:color="4F81BD"/>
              <w:left w:val="nil"/>
              <w:bottom w:val="single" w:sz="4" w:space="0" w:color="4F81BD"/>
              <w:right w:val="single" w:sz="4" w:space="0" w:color="4F81BD"/>
            </w:tcBorders>
            <w:shd w:val="clear" w:color="auto" w:fill="auto"/>
            <w:noWrap/>
            <w:vAlign w:val="bottom"/>
          </w:tcPr>
          <w:p w14:paraId="20245733" w14:textId="77777777" w:rsidR="00B9152B" w:rsidRPr="00934AC9" w:rsidRDefault="00B9152B" w:rsidP="00E847BA">
            <w:pPr>
              <w:jc w:val="center"/>
              <w:rPr>
                <w:szCs w:val="24"/>
              </w:rPr>
            </w:pPr>
            <w:r>
              <w:rPr>
                <w:szCs w:val="24"/>
              </w:rPr>
              <w:t>3 399</w:t>
            </w:r>
          </w:p>
        </w:tc>
      </w:tr>
      <w:tr w:rsidR="00B9152B" w:rsidRPr="00934AC9" w14:paraId="3D19A76F" w14:textId="77777777" w:rsidTr="00E847BA">
        <w:trPr>
          <w:trHeight w:val="255"/>
        </w:trPr>
        <w:tc>
          <w:tcPr>
            <w:tcW w:w="3040" w:type="dxa"/>
            <w:tcBorders>
              <w:top w:val="single" w:sz="4" w:space="0" w:color="4F81BD"/>
              <w:left w:val="single" w:sz="4" w:space="0" w:color="4F81BD"/>
              <w:bottom w:val="single" w:sz="4" w:space="0" w:color="4F81BD"/>
              <w:right w:val="nil"/>
            </w:tcBorders>
            <w:shd w:val="clear" w:color="auto" w:fill="auto"/>
            <w:noWrap/>
            <w:vAlign w:val="bottom"/>
            <w:hideMark/>
          </w:tcPr>
          <w:p w14:paraId="7423F26A" w14:textId="77777777" w:rsidR="00B9152B" w:rsidRPr="00934AC9" w:rsidRDefault="00B9152B" w:rsidP="00E847BA">
            <w:pPr>
              <w:rPr>
                <w:szCs w:val="24"/>
              </w:rPr>
            </w:pPr>
            <w:r>
              <w:rPr>
                <w:szCs w:val="24"/>
              </w:rPr>
              <w:t>Antall årsverk</w:t>
            </w:r>
          </w:p>
        </w:tc>
        <w:tc>
          <w:tcPr>
            <w:tcW w:w="1240" w:type="dxa"/>
            <w:tcBorders>
              <w:top w:val="single" w:sz="4" w:space="0" w:color="4F81BD"/>
              <w:left w:val="nil"/>
              <w:bottom w:val="single" w:sz="4" w:space="0" w:color="4F81BD"/>
              <w:right w:val="nil"/>
            </w:tcBorders>
          </w:tcPr>
          <w:p w14:paraId="2217C9F1" w14:textId="77777777" w:rsidR="00B9152B" w:rsidRPr="00934AC9" w:rsidRDefault="00B9152B" w:rsidP="00E847BA">
            <w:pPr>
              <w:jc w:val="center"/>
              <w:rPr>
                <w:szCs w:val="24"/>
              </w:rPr>
            </w:pPr>
            <w:r>
              <w:rPr>
                <w:szCs w:val="24"/>
              </w:rPr>
              <w:t>5 192</w:t>
            </w:r>
          </w:p>
        </w:tc>
        <w:tc>
          <w:tcPr>
            <w:tcW w:w="1240" w:type="dxa"/>
            <w:tcBorders>
              <w:top w:val="single" w:sz="4" w:space="0" w:color="4F81BD"/>
              <w:left w:val="nil"/>
              <w:bottom w:val="single" w:sz="4" w:space="0" w:color="4F81BD"/>
              <w:right w:val="nil"/>
            </w:tcBorders>
            <w:shd w:val="clear" w:color="auto" w:fill="auto"/>
            <w:noWrap/>
          </w:tcPr>
          <w:p w14:paraId="05AAD8BA" w14:textId="77777777" w:rsidR="00B9152B" w:rsidRPr="00934AC9" w:rsidRDefault="00B9152B" w:rsidP="00E847BA">
            <w:pPr>
              <w:jc w:val="center"/>
              <w:rPr>
                <w:szCs w:val="24"/>
              </w:rPr>
            </w:pPr>
            <w:r>
              <w:rPr>
                <w:szCs w:val="24"/>
              </w:rPr>
              <w:t>5 100</w:t>
            </w:r>
          </w:p>
        </w:tc>
        <w:tc>
          <w:tcPr>
            <w:tcW w:w="1240" w:type="dxa"/>
            <w:tcBorders>
              <w:top w:val="single" w:sz="4" w:space="0" w:color="4F81BD"/>
              <w:left w:val="nil"/>
              <w:bottom w:val="single" w:sz="4" w:space="0" w:color="4F81BD"/>
              <w:right w:val="single" w:sz="4" w:space="0" w:color="4F81BD"/>
            </w:tcBorders>
            <w:shd w:val="clear" w:color="auto" w:fill="auto"/>
            <w:noWrap/>
            <w:vAlign w:val="bottom"/>
          </w:tcPr>
          <w:p w14:paraId="06491790" w14:textId="77777777" w:rsidR="00B9152B" w:rsidRPr="00934AC9" w:rsidRDefault="00B9152B" w:rsidP="00E847BA">
            <w:pPr>
              <w:jc w:val="center"/>
              <w:rPr>
                <w:szCs w:val="24"/>
              </w:rPr>
            </w:pPr>
            <w:r>
              <w:rPr>
                <w:szCs w:val="24"/>
              </w:rPr>
              <w:t>5 056</w:t>
            </w:r>
          </w:p>
        </w:tc>
      </w:tr>
    </w:tbl>
    <w:p w14:paraId="1C39290A" w14:textId="77777777" w:rsidR="00B9152B" w:rsidRPr="00934AC9" w:rsidRDefault="00B9152B" w:rsidP="00B9152B">
      <w:pPr>
        <w:rPr>
          <w:rFonts w:eastAsia="Calibri"/>
          <w:i/>
          <w:sz w:val="20"/>
        </w:rPr>
      </w:pPr>
      <w:r w:rsidRPr="00934AC9">
        <w:rPr>
          <w:rFonts w:eastAsia="Calibri"/>
          <w:i/>
          <w:sz w:val="20"/>
        </w:rPr>
        <w:t xml:space="preserve">Tabell </w:t>
      </w:r>
      <w:r>
        <w:rPr>
          <w:rFonts w:eastAsia="Calibri"/>
          <w:i/>
          <w:sz w:val="20"/>
        </w:rPr>
        <w:t>3</w:t>
      </w:r>
      <w:r w:rsidRPr="00934AC9">
        <w:rPr>
          <w:rFonts w:eastAsia="Calibri"/>
          <w:i/>
          <w:sz w:val="20"/>
        </w:rPr>
        <w:t xml:space="preserve">: </w:t>
      </w:r>
      <w:r>
        <w:rPr>
          <w:rFonts w:eastAsia="Calibri"/>
          <w:i/>
          <w:sz w:val="20"/>
        </w:rPr>
        <w:t>Utvikling i lønnskostnader og antall årsverk de siste 3 år</w:t>
      </w:r>
    </w:p>
    <w:p w14:paraId="57E824B2" w14:textId="77777777" w:rsidR="00B9152B" w:rsidRDefault="00B9152B" w:rsidP="00B9152B">
      <w:pPr>
        <w:rPr>
          <w:rFonts w:eastAsia="Calibri"/>
          <w:szCs w:val="24"/>
        </w:rPr>
      </w:pPr>
    </w:p>
    <w:p w14:paraId="7FD4A61D" w14:textId="391899D2" w:rsidR="00B9152B" w:rsidRDefault="00B9152B" w:rsidP="00B9152B">
      <w:pPr>
        <w:rPr>
          <w:rFonts w:eastAsia="Calibri"/>
          <w:szCs w:val="24"/>
        </w:rPr>
      </w:pPr>
      <w:r w:rsidRPr="00934AC9">
        <w:rPr>
          <w:rFonts w:eastAsia="Calibri"/>
          <w:szCs w:val="24"/>
        </w:rPr>
        <w:t xml:space="preserve">Lønnsutgiftene har økt med </w:t>
      </w:r>
      <w:r>
        <w:rPr>
          <w:rFonts w:eastAsia="Calibri"/>
          <w:szCs w:val="24"/>
        </w:rPr>
        <w:t>5,4</w:t>
      </w:r>
      <w:r w:rsidRPr="00934AC9">
        <w:rPr>
          <w:rFonts w:eastAsia="Calibri"/>
          <w:szCs w:val="24"/>
        </w:rPr>
        <w:t xml:space="preserve"> % fra i fjor</w:t>
      </w:r>
      <w:r>
        <w:rPr>
          <w:rFonts w:eastAsia="Calibri"/>
          <w:szCs w:val="24"/>
        </w:rPr>
        <w:t>, dette utgjør en økning på 193 mill.kr.</w:t>
      </w:r>
      <w:r w:rsidR="00E944F4">
        <w:rPr>
          <w:rFonts w:eastAsia="Calibri"/>
          <w:szCs w:val="24"/>
        </w:rPr>
        <w:t>,</w:t>
      </w:r>
      <w:r>
        <w:rPr>
          <w:rFonts w:eastAsia="Calibri"/>
          <w:szCs w:val="24"/>
        </w:rPr>
        <w:t xml:space="preserve"> mens a</w:t>
      </w:r>
      <w:r w:rsidRPr="00EC46CA">
        <w:rPr>
          <w:rFonts w:eastAsia="Calibri"/>
          <w:szCs w:val="24"/>
        </w:rPr>
        <w:t>ntall årsverk</w:t>
      </w:r>
      <w:r>
        <w:rPr>
          <w:rFonts w:eastAsia="Calibri"/>
          <w:szCs w:val="24"/>
        </w:rPr>
        <w:t xml:space="preserve"> økte med 92. </w:t>
      </w:r>
      <w:r w:rsidR="008F3290">
        <w:rPr>
          <w:rFonts w:eastAsia="Calibri"/>
          <w:szCs w:val="24"/>
        </w:rPr>
        <w:t xml:space="preserve">De største årsverkendringene er innen undervisnings-og forskerstillinger, </w:t>
      </w:r>
      <w:r w:rsidR="00975341">
        <w:rPr>
          <w:rFonts w:eastAsia="Calibri"/>
          <w:szCs w:val="24"/>
        </w:rPr>
        <w:t xml:space="preserve">hvor det har vært en økning </w:t>
      </w:r>
      <w:r w:rsidR="008F3290">
        <w:rPr>
          <w:rFonts w:eastAsia="Calibri"/>
          <w:szCs w:val="24"/>
        </w:rPr>
        <w:t>med 46,9 årsverk. Ingeniørstillinger har økt med 23,8 årsverk. Årsverk i rekrutteringsstillinger har totalt sett liten endring, men det har vært en dreining i retning flere post.doc-stillinger (+29,5) og færre stipendiatstillinger (-32,4)</w:t>
      </w:r>
    </w:p>
    <w:p w14:paraId="1BF5A47E" w14:textId="7AA3AB0B" w:rsidR="00B9152B" w:rsidRDefault="00E944F4" w:rsidP="00B9152B">
      <w:pPr>
        <w:rPr>
          <w:rFonts w:eastAsia="Calibri"/>
          <w:szCs w:val="24"/>
        </w:rPr>
      </w:pPr>
      <w:r>
        <w:rPr>
          <w:rFonts w:eastAsia="Calibri"/>
          <w:szCs w:val="24"/>
        </w:rPr>
        <w:t>En ytterligere analyse av årsverksutviklingen vil også være beskrevet i NTNUs årsrapport.</w:t>
      </w:r>
      <w:r w:rsidR="00B9152B">
        <w:rPr>
          <w:rFonts w:eastAsia="Calibri"/>
          <w:szCs w:val="24"/>
        </w:rPr>
        <w:t xml:space="preserve"> </w:t>
      </w:r>
    </w:p>
    <w:p w14:paraId="39B4364A" w14:textId="77777777" w:rsidR="00B9152B" w:rsidRDefault="00B9152B" w:rsidP="00B9152B">
      <w:pPr>
        <w:rPr>
          <w:rFonts w:eastAsia="Calibri"/>
          <w:szCs w:val="24"/>
        </w:rPr>
      </w:pPr>
    </w:p>
    <w:p w14:paraId="5193776B" w14:textId="77777777" w:rsidR="00B9152B" w:rsidRDefault="00B9152B" w:rsidP="00B9152B">
      <w:pPr>
        <w:rPr>
          <w:rFonts w:eastAsia="Calibri"/>
          <w:szCs w:val="24"/>
        </w:rPr>
      </w:pPr>
      <w:r>
        <w:rPr>
          <w:rFonts w:eastAsia="Calibri"/>
          <w:szCs w:val="24"/>
        </w:rPr>
        <w:t xml:space="preserve">Regnskapet pr.31.12. viser </w:t>
      </w:r>
      <w:r w:rsidR="00E944F4">
        <w:rPr>
          <w:rFonts w:eastAsia="Calibri"/>
          <w:szCs w:val="24"/>
        </w:rPr>
        <w:t xml:space="preserve">totalt sett </w:t>
      </w:r>
      <w:r>
        <w:rPr>
          <w:rFonts w:eastAsia="Calibri"/>
          <w:szCs w:val="24"/>
        </w:rPr>
        <w:t xml:space="preserve">et overskudd på </w:t>
      </w:r>
      <w:r w:rsidR="00545327">
        <w:rPr>
          <w:rFonts w:eastAsia="Calibri"/>
          <w:szCs w:val="24"/>
        </w:rPr>
        <w:t>3</w:t>
      </w:r>
      <w:r>
        <w:rPr>
          <w:rFonts w:eastAsia="Calibri"/>
          <w:szCs w:val="24"/>
        </w:rPr>
        <w:t xml:space="preserve"> mill. kr. (Overskudd fra den oppdragsfinansierte virksomheten) Overskuddet er tilført annen opptjent virksomhetskapital. </w:t>
      </w:r>
    </w:p>
    <w:p w14:paraId="2159291A" w14:textId="77777777" w:rsidR="009F734C" w:rsidRDefault="009F734C" w:rsidP="00B9152B">
      <w:pPr>
        <w:rPr>
          <w:rFonts w:eastAsia="Calibri"/>
          <w:szCs w:val="24"/>
        </w:rPr>
      </w:pPr>
    </w:p>
    <w:p w14:paraId="748A8D21" w14:textId="77777777" w:rsidR="00B9152B" w:rsidRPr="00934AC9" w:rsidRDefault="00B9152B" w:rsidP="00B9152B">
      <w:pPr>
        <w:keepNext/>
        <w:spacing w:before="240" w:after="60"/>
        <w:outlineLvl w:val="1"/>
        <w:rPr>
          <w:rFonts w:eastAsia="Calibri"/>
          <w:b/>
        </w:rPr>
      </w:pPr>
      <w:r>
        <w:rPr>
          <w:rFonts w:eastAsia="Calibri"/>
          <w:b/>
        </w:rPr>
        <w:t>4.2</w:t>
      </w:r>
      <w:r w:rsidRPr="00934AC9">
        <w:rPr>
          <w:rFonts w:eastAsia="Calibri"/>
          <w:b/>
        </w:rPr>
        <w:t xml:space="preserve"> Balanseregnskapet</w:t>
      </w:r>
    </w:p>
    <w:p w14:paraId="02551E28" w14:textId="77777777" w:rsidR="00B9152B" w:rsidRDefault="00B9152B" w:rsidP="00B9152B">
      <w:pPr>
        <w:rPr>
          <w:rFonts w:eastAsia="Calibri"/>
          <w:szCs w:val="24"/>
        </w:rPr>
      </w:pPr>
      <w:r w:rsidRPr="00934AC9">
        <w:rPr>
          <w:rFonts w:eastAsia="Calibri"/>
          <w:szCs w:val="24"/>
        </w:rPr>
        <w:t>Balanseregnskapet gir uttrykk for verdien av eiendelene pr. 3</w:t>
      </w:r>
      <w:r>
        <w:rPr>
          <w:rFonts w:eastAsia="Calibri"/>
          <w:szCs w:val="24"/>
        </w:rPr>
        <w:t>1</w:t>
      </w:r>
      <w:r w:rsidRPr="00934AC9">
        <w:rPr>
          <w:rFonts w:eastAsia="Calibri"/>
          <w:szCs w:val="24"/>
        </w:rPr>
        <w:t>.</w:t>
      </w:r>
      <w:r>
        <w:rPr>
          <w:rFonts w:eastAsia="Calibri"/>
          <w:szCs w:val="24"/>
        </w:rPr>
        <w:t>12</w:t>
      </w:r>
      <w:r w:rsidRPr="00934AC9">
        <w:rPr>
          <w:rFonts w:eastAsia="Calibri"/>
          <w:szCs w:val="24"/>
        </w:rPr>
        <w:t>.1</w:t>
      </w:r>
      <w:r>
        <w:rPr>
          <w:rFonts w:eastAsia="Calibri"/>
          <w:szCs w:val="24"/>
        </w:rPr>
        <w:t xml:space="preserve">4 </w:t>
      </w:r>
      <w:r w:rsidRPr="00934AC9">
        <w:rPr>
          <w:rFonts w:eastAsia="Calibri"/>
          <w:szCs w:val="24"/>
        </w:rPr>
        <w:t>og hvordan disse er finansiert gjennom gjeld og egenkapital.</w:t>
      </w:r>
    </w:p>
    <w:p w14:paraId="16729F0E" w14:textId="77777777" w:rsidR="00B9152B" w:rsidRDefault="00B9152B" w:rsidP="00B9152B">
      <w:pPr>
        <w:rPr>
          <w:rFonts w:eastAsia="Calibri"/>
          <w:szCs w:val="24"/>
        </w:rPr>
      </w:pPr>
    </w:p>
    <w:p w14:paraId="464C8A3E" w14:textId="77777777" w:rsidR="00B9152B" w:rsidRPr="00934AC9" w:rsidRDefault="00B9152B" w:rsidP="00B9152B">
      <w:pPr>
        <w:rPr>
          <w:rFonts w:eastAsia="Calibri"/>
          <w:szCs w:val="24"/>
        </w:rPr>
      </w:pPr>
      <w:r>
        <w:rPr>
          <w:rFonts w:eastAsia="Calibri"/>
          <w:szCs w:val="24"/>
        </w:rPr>
        <w:t>Tilgang av anleggsmidler i perioden, dvs. investeringer i varige driftsmidler er 943 mill. kr. Investering i driftsbygninger er på 667 mill kr., her inngår Kunnskapssenteret som er overført fra Helsebygg med en anskaffelsesverdi på 539 mill. kr. Anlegg under utførelse er netto økt med 97 mill. kr. Investeringer i</w:t>
      </w:r>
      <w:r w:rsidRPr="00934AC9">
        <w:rPr>
          <w:rFonts w:eastAsia="Calibri"/>
          <w:szCs w:val="24"/>
        </w:rPr>
        <w:t xml:space="preserve"> inventar</w:t>
      </w:r>
      <w:r>
        <w:rPr>
          <w:rFonts w:eastAsia="Calibri"/>
          <w:szCs w:val="24"/>
        </w:rPr>
        <w:t>/</w:t>
      </w:r>
      <w:r w:rsidRPr="00934AC9">
        <w:rPr>
          <w:rFonts w:eastAsia="Calibri"/>
          <w:szCs w:val="24"/>
        </w:rPr>
        <w:t xml:space="preserve"> </w:t>
      </w:r>
      <w:r>
        <w:rPr>
          <w:rFonts w:eastAsia="Calibri"/>
          <w:szCs w:val="24"/>
        </w:rPr>
        <w:t xml:space="preserve">utstyr/maskiner/transportmidler er på 179 mill. kr.          </w:t>
      </w:r>
    </w:p>
    <w:p w14:paraId="0160592C" w14:textId="77777777" w:rsidR="00B9152B" w:rsidRDefault="00B9152B" w:rsidP="00B9152B">
      <w:pPr>
        <w:rPr>
          <w:rFonts w:eastAsia="Calibri"/>
          <w:color w:val="808080"/>
          <w:szCs w:val="24"/>
        </w:rPr>
      </w:pPr>
    </w:p>
    <w:tbl>
      <w:tblPr>
        <w:tblW w:w="7800" w:type="dxa"/>
        <w:tblCellMar>
          <w:left w:w="70" w:type="dxa"/>
          <w:right w:w="70" w:type="dxa"/>
        </w:tblCellMar>
        <w:tblLook w:val="04A0" w:firstRow="1" w:lastRow="0" w:firstColumn="1" w:lastColumn="0" w:noHBand="0" w:noVBand="1"/>
      </w:tblPr>
      <w:tblGrid>
        <w:gridCol w:w="4080"/>
        <w:gridCol w:w="1240"/>
        <w:gridCol w:w="1240"/>
        <w:gridCol w:w="1240"/>
      </w:tblGrid>
      <w:tr w:rsidR="00B20220" w:rsidRPr="00934AC9" w14:paraId="2BB847E4" w14:textId="77777777" w:rsidTr="007938B6">
        <w:trPr>
          <w:trHeight w:val="255"/>
        </w:trPr>
        <w:tc>
          <w:tcPr>
            <w:tcW w:w="4080" w:type="dxa"/>
            <w:tcBorders>
              <w:top w:val="single" w:sz="4" w:space="0" w:color="4F81BD"/>
              <w:left w:val="single" w:sz="4" w:space="0" w:color="4F81BD"/>
              <w:bottom w:val="nil"/>
              <w:right w:val="nil"/>
            </w:tcBorders>
            <w:shd w:val="clear" w:color="DCE6F1" w:fill="DCE6F1"/>
            <w:noWrap/>
            <w:vAlign w:val="bottom"/>
            <w:hideMark/>
          </w:tcPr>
          <w:p w14:paraId="6849AEFE" w14:textId="77777777" w:rsidR="00B20220" w:rsidRPr="00D52736" w:rsidRDefault="00D52736" w:rsidP="00D52736">
            <w:pPr>
              <w:rPr>
                <w:bCs/>
                <w:szCs w:val="24"/>
              </w:rPr>
            </w:pPr>
            <w:r w:rsidRPr="00D52736">
              <w:rPr>
                <w:bCs/>
                <w:szCs w:val="24"/>
              </w:rPr>
              <w:t>(mill.kr)</w:t>
            </w:r>
          </w:p>
        </w:tc>
        <w:tc>
          <w:tcPr>
            <w:tcW w:w="1240" w:type="dxa"/>
            <w:tcBorders>
              <w:top w:val="single" w:sz="4" w:space="0" w:color="4F81BD"/>
              <w:left w:val="nil"/>
              <w:bottom w:val="nil"/>
              <w:right w:val="nil"/>
            </w:tcBorders>
            <w:shd w:val="clear" w:color="DCE6F1" w:fill="DCE6F1"/>
          </w:tcPr>
          <w:p w14:paraId="6DCB4773" w14:textId="77777777" w:rsidR="00B20220" w:rsidRPr="00934AC9" w:rsidRDefault="00B20220" w:rsidP="00D52736">
            <w:pPr>
              <w:jc w:val="right"/>
              <w:rPr>
                <w:b/>
                <w:bCs/>
                <w:szCs w:val="24"/>
              </w:rPr>
            </w:pPr>
            <w:r w:rsidRPr="00934AC9">
              <w:rPr>
                <w:b/>
                <w:bCs/>
                <w:szCs w:val="24"/>
              </w:rPr>
              <w:t>201</w:t>
            </w:r>
            <w:r>
              <w:rPr>
                <w:b/>
                <w:bCs/>
                <w:szCs w:val="24"/>
              </w:rPr>
              <w:t>4</w:t>
            </w:r>
          </w:p>
        </w:tc>
        <w:tc>
          <w:tcPr>
            <w:tcW w:w="1240" w:type="dxa"/>
            <w:tcBorders>
              <w:top w:val="single" w:sz="4" w:space="0" w:color="4F81BD"/>
              <w:left w:val="nil"/>
              <w:bottom w:val="nil"/>
              <w:right w:val="nil"/>
            </w:tcBorders>
            <w:shd w:val="clear" w:color="DCE6F1" w:fill="DCE6F1"/>
            <w:noWrap/>
            <w:vAlign w:val="bottom"/>
            <w:hideMark/>
          </w:tcPr>
          <w:p w14:paraId="2A80F1C7" w14:textId="77777777" w:rsidR="00B20220" w:rsidRPr="00934AC9" w:rsidRDefault="00B20220" w:rsidP="00D52736">
            <w:pPr>
              <w:jc w:val="right"/>
              <w:rPr>
                <w:b/>
                <w:bCs/>
                <w:szCs w:val="24"/>
              </w:rPr>
            </w:pPr>
            <w:r w:rsidRPr="00934AC9">
              <w:rPr>
                <w:b/>
                <w:bCs/>
                <w:szCs w:val="24"/>
              </w:rPr>
              <w:t>201</w:t>
            </w:r>
            <w:r>
              <w:rPr>
                <w:b/>
                <w:bCs/>
                <w:szCs w:val="24"/>
              </w:rPr>
              <w:t>3</w:t>
            </w:r>
          </w:p>
        </w:tc>
        <w:tc>
          <w:tcPr>
            <w:tcW w:w="1240" w:type="dxa"/>
            <w:tcBorders>
              <w:top w:val="single" w:sz="4" w:space="0" w:color="4F81BD"/>
              <w:left w:val="nil"/>
              <w:bottom w:val="nil"/>
              <w:right w:val="single" w:sz="4" w:space="0" w:color="4F81BD"/>
            </w:tcBorders>
            <w:shd w:val="clear" w:color="DCE6F1" w:fill="DCE6F1"/>
            <w:noWrap/>
            <w:vAlign w:val="bottom"/>
            <w:hideMark/>
          </w:tcPr>
          <w:p w14:paraId="2FC82175" w14:textId="77777777" w:rsidR="00B20220" w:rsidRPr="00934AC9" w:rsidRDefault="00B20220" w:rsidP="00D52736">
            <w:pPr>
              <w:jc w:val="right"/>
              <w:rPr>
                <w:b/>
                <w:bCs/>
                <w:szCs w:val="24"/>
              </w:rPr>
            </w:pPr>
            <w:r w:rsidRPr="00934AC9">
              <w:rPr>
                <w:b/>
                <w:bCs/>
                <w:szCs w:val="24"/>
              </w:rPr>
              <w:t>201</w:t>
            </w:r>
            <w:r>
              <w:rPr>
                <w:b/>
                <w:bCs/>
                <w:szCs w:val="24"/>
              </w:rPr>
              <w:t>2</w:t>
            </w:r>
          </w:p>
        </w:tc>
      </w:tr>
      <w:tr w:rsidR="00B20220" w:rsidRPr="00934AC9" w14:paraId="5DD90BC2" w14:textId="77777777" w:rsidTr="007938B6">
        <w:trPr>
          <w:trHeight w:val="255"/>
        </w:trPr>
        <w:tc>
          <w:tcPr>
            <w:tcW w:w="4080" w:type="dxa"/>
            <w:tcBorders>
              <w:top w:val="single" w:sz="4" w:space="0" w:color="4F81BD"/>
              <w:left w:val="single" w:sz="4" w:space="0" w:color="4F81BD"/>
              <w:bottom w:val="nil"/>
              <w:right w:val="nil"/>
            </w:tcBorders>
            <w:shd w:val="clear" w:color="auto" w:fill="auto"/>
            <w:noWrap/>
            <w:vAlign w:val="bottom"/>
          </w:tcPr>
          <w:p w14:paraId="57AACD1E" w14:textId="77777777" w:rsidR="00B20220" w:rsidRPr="00934AC9" w:rsidRDefault="00B20220" w:rsidP="00E847BA">
            <w:pPr>
              <w:rPr>
                <w:szCs w:val="24"/>
              </w:rPr>
            </w:pPr>
            <w:r>
              <w:rPr>
                <w:szCs w:val="24"/>
              </w:rPr>
              <w:t>Anleggsmidler</w:t>
            </w:r>
            <w:r w:rsidR="00D52736">
              <w:rPr>
                <w:szCs w:val="24"/>
              </w:rPr>
              <w:t xml:space="preserve"> 01.01</w:t>
            </w:r>
            <w:r w:rsidR="007938B6">
              <w:rPr>
                <w:szCs w:val="24"/>
              </w:rPr>
              <w:t xml:space="preserve"> (anskaffelseskost)</w:t>
            </w:r>
          </w:p>
        </w:tc>
        <w:tc>
          <w:tcPr>
            <w:tcW w:w="1240" w:type="dxa"/>
            <w:tcBorders>
              <w:top w:val="single" w:sz="4" w:space="0" w:color="4F81BD"/>
              <w:left w:val="nil"/>
              <w:bottom w:val="nil"/>
              <w:right w:val="nil"/>
            </w:tcBorders>
          </w:tcPr>
          <w:p w14:paraId="4E8BE930" w14:textId="77777777" w:rsidR="00B20220" w:rsidRPr="00934AC9" w:rsidRDefault="00B20220" w:rsidP="00D52736">
            <w:pPr>
              <w:jc w:val="right"/>
              <w:rPr>
                <w:szCs w:val="24"/>
              </w:rPr>
            </w:pPr>
            <w:r>
              <w:rPr>
                <w:szCs w:val="24"/>
              </w:rPr>
              <w:t>17 200</w:t>
            </w:r>
          </w:p>
        </w:tc>
        <w:tc>
          <w:tcPr>
            <w:tcW w:w="1240" w:type="dxa"/>
            <w:tcBorders>
              <w:top w:val="single" w:sz="4" w:space="0" w:color="4F81BD"/>
              <w:left w:val="nil"/>
              <w:bottom w:val="nil"/>
              <w:right w:val="nil"/>
            </w:tcBorders>
            <w:shd w:val="clear" w:color="auto" w:fill="auto"/>
            <w:noWrap/>
          </w:tcPr>
          <w:p w14:paraId="687DC8DA" w14:textId="77777777" w:rsidR="00B20220" w:rsidRPr="00934AC9" w:rsidRDefault="00917072" w:rsidP="00D52736">
            <w:pPr>
              <w:jc w:val="right"/>
              <w:rPr>
                <w:szCs w:val="24"/>
              </w:rPr>
            </w:pPr>
            <w:r>
              <w:rPr>
                <w:szCs w:val="24"/>
              </w:rPr>
              <w:t>16 803</w:t>
            </w:r>
          </w:p>
        </w:tc>
        <w:tc>
          <w:tcPr>
            <w:tcW w:w="1240" w:type="dxa"/>
            <w:tcBorders>
              <w:top w:val="single" w:sz="4" w:space="0" w:color="4F81BD"/>
              <w:left w:val="nil"/>
              <w:bottom w:val="nil"/>
              <w:right w:val="single" w:sz="4" w:space="0" w:color="4F81BD"/>
            </w:tcBorders>
            <w:shd w:val="clear" w:color="auto" w:fill="auto"/>
            <w:noWrap/>
            <w:vAlign w:val="bottom"/>
          </w:tcPr>
          <w:p w14:paraId="3C8F3B0C" w14:textId="77777777" w:rsidR="00B20220" w:rsidRPr="00934AC9" w:rsidRDefault="007938B6" w:rsidP="00D52736">
            <w:pPr>
              <w:jc w:val="right"/>
              <w:rPr>
                <w:szCs w:val="24"/>
              </w:rPr>
            </w:pPr>
            <w:r>
              <w:rPr>
                <w:szCs w:val="24"/>
              </w:rPr>
              <w:t>16 425</w:t>
            </w:r>
          </w:p>
        </w:tc>
      </w:tr>
      <w:tr w:rsidR="00B20220" w:rsidRPr="00934AC9" w14:paraId="643B1B02" w14:textId="77777777" w:rsidTr="007938B6">
        <w:trPr>
          <w:trHeight w:val="255"/>
        </w:trPr>
        <w:tc>
          <w:tcPr>
            <w:tcW w:w="4080" w:type="dxa"/>
            <w:tcBorders>
              <w:top w:val="single" w:sz="4" w:space="0" w:color="4F81BD"/>
              <w:left w:val="single" w:sz="4" w:space="0" w:color="4F81BD"/>
              <w:bottom w:val="nil"/>
              <w:right w:val="nil"/>
            </w:tcBorders>
            <w:shd w:val="clear" w:color="auto" w:fill="auto"/>
            <w:noWrap/>
            <w:vAlign w:val="bottom"/>
          </w:tcPr>
          <w:p w14:paraId="6AA4E77E" w14:textId="77777777" w:rsidR="00B20220" w:rsidRPr="00934AC9" w:rsidRDefault="00B20220" w:rsidP="00E847BA">
            <w:pPr>
              <w:rPr>
                <w:szCs w:val="24"/>
              </w:rPr>
            </w:pPr>
            <w:r>
              <w:rPr>
                <w:szCs w:val="24"/>
              </w:rPr>
              <w:t>Tilgang</w:t>
            </w:r>
          </w:p>
        </w:tc>
        <w:tc>
          <w:tcPr>
            <w:tcW w:w="1240" w:type="dxa"/>
            <w:tcBorders>
              <w:top w:val="single" w:sz="4" w:space="0" w:color="4F81BD"/>
              <w:left w:val="nil"/>
              <w:bottom w:val="nil"/>
              <w:right w:val="nil"/>
            </w:tcBorders>
          </w:tcPr>
          <w:p w14:paraId="5351BAB1" w14:textId="77777777" w:rsidR="00B20220" w:rsidRPr="00934AC9" w:rsidRDefault="00D52736" w:rsidP="00D52736">
            <w:pPr>
              <w:jc w:val="right"/>
              <w:rPr>
                <w:szCs w:val="24"/>
              </w:rPr>
            </w:pPr>
            <w:r>
              <w:rPr>
                <w:szCs w:val="24"/>
              </w:rPr>
              <w:t xml:space="preserve">+ </w:t>
            </w:r>
            <w:r w:rsidR="00B20220">
              <w:rPr>
                <w:szCs w:val="24"/>
              </w:rPr>
              <w:t>943</w:t>
            </w:r>
          </w:p>
        </w:tc>
        <w:tc>
          <w:tcPr>
            <w:tcW w:w="1240" w:type="dxa"/>
            <w:tcBorders>
              <w:top w:val="single" w:sz="4" w:space="0" w:color="4F81BD"/>
              <w:left w:val="nil"/>
              <w:bottom w:val="nil"/>
              <w:right w:val="nil"/>
            </w:tcBorders>
            <w:shd w:val="clear" w:color="auto" w:fill="auto"/>
            <w:noWrap/>
          </w:tcPr>
          <w:p w14:paraId="0174040D" w14:textId="77777777" w:rsidR="00B20220" w:rsidRPr="00934AC9" w:rsidRDefault="00917072" w:rsidP="00D52736">
            <w:pPr>
              <w:jc w:val="right"/>
              <w:rPr>
                <w:szCs w:val="24"/>
              </w:rPr>
            </w:pPr>
            <w:r>
              <w:rPr>
                <w:szCs w:val="24"/>
              </w:rPr>
              <w:t>+ 402</w:t>
            </w:r>
          </w:p>
        </w:tc>
        <w:tc>
          <w:tcPr>
            <w:tcW w:w="1240" w:type="dxa"/>
            <w:tcBorders>
              <w:top w:val="single" w:sz="4" w:space="0" w:color="4F81BD"/>
              <w:left w:val="nil"/>
              <w:bottom w:val="nil"/>
              <w:right w:val="single" w:sz="4" w:space="0" w:color="4F81BD"/>
            </w:tcBorders>
            <w:shd w:val="clear" w:color="auto" w:fill="auto"/>
            <w:noWrap/>
            <w:vAlign w:val="bottom"/>
          </w:tcPr>
          <w:p w14:paraId="5ACC21D7" w14:textId="77777777" w:rsidR="00B20220" w:rsidRPr="00934AC9" w:rsidRDefault="007938B6" w:rsidP="00D52736">
            <w:pPr>
              <w:jc w:val="right"/>
              <w:rPr>
                <w:szCs w:val="24"/>
              </w:rPr>
            </w:pPr>
            <w:r>
              <w:rPr>
                <w:szCs w:val="24"/>
              </w:rPr>
              <w:t>+ 378</w:t>
            </w:r>
          </w:p>
        </w:tc>
      </w:tr>
      <w:tr w:rsidR="00917072" w:rsidRPr="00934AC9" w14:paraId="1FEF4E70" w14:textId="77777777" w:rsidTr="007938B6">
        <w:trPr>
          <w:trHeight w:val="255"/>
        </w:trPr>
        <w:tc>
          <w:tcPr>
            <w:tcW w:w="4080" w:type="dxa"/>
            <w:tcBorders>
              <w:top w:val="single" w:sz="4" w:space="0" w:color="4F81BD"/>
              <w:left w:val="single" w:sz="4" w:space="0" w:color="4F81BD"/>
              <w:bottom w:val="single" w:sz="4" w:space="0" w:color="4F81BD"/>
              <w:right w:val="nil"/>
            </w:tcBorders>
            <w:shd w:val="clear" w:color="auto" w:fill="auto"/>
            <w:noWrap/>
            <w:vAlign w:val="bottom"/>
          </w:tcPr>
          <w:p w14:paraId="4A88023A" w14:textId="77777777" w:rsidR="00917072" w:rsidRDefault="00917072" w:rsidP="00E847BA">
            <w:pPr>
              <w:rPr>
                <w:szCs w:val="24"/>
              </w:rPr>
            </w:pPr>
            <w:r>
              <w:rPr>
                <w:szCs w:val="24"/>
              </w:rPr>
              <w:t>Avgang</w:t>
            </w:r>
          </w:p>
        </w:tc>
        <w:tc>
          <w:tcPr>
            <w:tcW w:w="1240" w:type="dxa"/>
            <w:tcBorders>
              <w:top w:val="single" w:sz="4" w:space="0" w:color="4F81BD"/>
              <w:left w:val="nil"/>
              <w:bottom w:val="single" w:sz="4" w:space="0" w:color="4F81BD"/>
              <w:right w:val="nil"/>
            </w:tcBorders>
          </w:tcPr>
          <w:p w14:paraId="5ECA577D" w14:textId="77777777" w:rsidR="00917072" w:rsidRPr="00D52736" w:rsidRDefault="00917072" w:rsidP="00D52736">
            <w:pPr>
              <w:jc w:val="right"/>
              <w:rPr>
                <w:szCs w:val="24"/>
              </w:rPr>
            </w:pPr>
          </w:p>
        </w:tc>
        <w:tc>
          <w:tcPr>
            <w:tcW w:w="1240" w:type="dxa"/>
            <w:tcBorders>
              <w:top w:val="single" w:sz="4" w:space="0" w:color="4F81BD"/>
              <w:left w:val="nil"/>
              <w:bottom w:val="single" w:sz="4" w:space="0" w:color="4F81BD"/>
              <w:right w:val="nil"/>
            </w:tcBorders>
            <w:shd w:val="clear" w:color="auto" w:fill="auto"/>
            <w:noWrap/>
          </w:tcPr>
          <w:p w14:paraId="138B503F" w14:textId="77777777" w:rsidR="00917072" w:rsidRPr="00917072" w:rsidRDefault="00917072" w:rsidP="00917072">
            <w:pPr>
              <w:jc w:val="right"/>
              <w:rPr>
                <w:szCs w:val="24"/>
              </w:rPr>
            </w:pPr>
            <w:r w:rsidRPr="00917072">
              <w:rPr>
                <w:szCs w:val="24"/>
              </w:rPr>
              <w:t>-</w:t>
            </w:r>
            <w:r>
              <w:rPr>
                <w:szCs w:val="24"/>
              </w:rPr>
              <w:t xml:space="preserve"> </w:t>
            </w:r>
            <w:r w:rsidRPr="00917072">
              <w:rPr>
                <w:szCs w:val="24"/>
              </w:rPr>
              <w:t>5</w:t>
            </w:r>
          </w:p>
        </w:tc>
        <w:tc>
          <w:tcPr>
            <w:tcW w:w="1240" w:type="dxa"/>
            <w:tcBorders>
              <w:top w:val="single" w:sz="4" w:space="0" w:color="4F81BD"/>
              <w:left w:val="nil"/>
              <w:bottom w:val="single" w:sz="4" w:space="0" w:color="4F81BD"/>
              <w:right w:val="single" w:sz="4" w:space="0" w:color="4F81BD"/>
            </w:tcBorders>
            <w:shd w:val="clear" w:color="auto" w:fill="auto"/>
            <w:noWrap/>
            <w:vAlign w:val="bottom"/>
          </w:tcPr>
          <w:p w14:paraId="629241B3" w14:textId="77777777" w:rsidR="00917072" w:rsidRPr="00934AC9" w:rsidRDefault="00917072" w:rsidP="00D52736">
            <w:pPr>
              <w:jc w:val="right"/>
              <w:rPr>
                <w:szCs w:val="24"/>
              </w:rPr>
            </w:pPr>
          </w:p>
        </w:tc>
      </w:tr>
      <w:tr w:rsidR="00B20220" w:rsidRPr="00934AC9" w14:paraId="7B6450D1" w14:textId="77777777" w:rsidTr="007938B6">
        <w:trPr>
          <w:trHeight w:val="255"/>
        </w:trPr>
        <w:tc>
          <w:tcPr>
            <w:tcW w:w="4080" w:type="dxa"/>
            <w:tcBorders>
              <w:top w:val="single" w:sz="4" w:space="0" w:color="4F81BD"/>
              <w:left w:val="single" w:sz="4" w:space="0" w:color="4F81BD"/>
              <w:bottom w:val="single" w:sz="4" w:space="0" w:color="4F81BD"/>
              <w:right w:val="nil"/>
            </w:tcBorders>
            <w:shd w:val="clear" w:color="auto" w:fill="auto"/>
            <w:noWrap/>
            <w:vAlign w:val="bottom"/>
          </w:tcPr>
          <w:p w14:paraId="3AA0F36F" w14:textId="77777777" w:rsidR="00B20220" w:rsidRPr="00934AC9" w:rsidRDefault="00B20220" w:rsidP="00E847BA">
            <w:pPr>
              <w:rPr>
                <w:szCs w:val="24"/>
              </w:rPr>
            </w:pPr>
            <w:r>
              <w:rPr>
                <w:szCs w:val="24"/>
              </w:rPr>
              <w:t>Avskrivninger</w:t>
            </w:r>
          </w:p>
        </w:tc>
        <w:tc>
          <w:tcPr>
            <w:tcW w:w="1240" w:type="dxa"/>
            <w:tcBorders>
              <w:top w:val="single" w:sz="4" w:space="0" w:color="4F81BD"/>
              <w:left w:val="nil"/>
              <w:bottom w:val="single" w:sz="4" w:space="0" w:color="4F81BD"/>
              <w:right w:val="nil"/>
            </w:tcBorders>
          </w:tcPr>
          <w:p w14:paraId="4BA7AD82" w14:textId="77777777" w:rsidR="00B20220" w:rsidRPr="00D52736" w:rsidRDefault="00D52736" w:rsidP="00D52736">
            <w:pPr>
              <w:jc w:val="right"/>
              <w:rPr>
                <w:szCs w:val="24"/>
              </w:rPr>
            </w:pPr>
            <w:r w:rsidRPr="00D52736">
              <w:rPr>
                <w:szCs w:val="24"/>
              </w:rPr>
              <w:t>-</w:t>
            </w:r>
            <w:r>
              <w:rPr>
                <w:szCs w:val="24"/>
              </w:rPr>
              <w:t xml:space="preserve"> </w:t>
            </w:r>
            <w:r w:rsidR="00B20220" w:rsidRPr="00D52736">
              <w:rPr>
                <w:szCs w:val="24"/>
              </w:rPr>
              <w:t>8 902</w:t>
            </w:r>
          </w:p>
        </w:tc>
        <w:tc>
          <w:tcPr>
            <w:tcW w:w="1240" w:type="dxa"/>
            <w:tcBorders>
              <w:top w:val="single" w:sz="4" w:space="0" w:color="4F81BD"/>
              <w:left w:val="nil"/>
              <w:bottom w:val="single" w:sz="4" w:space="0" w:color="4F81BD"/>
              <w:right w:val="nil"/>
            </w:tcBorders>
            <w:shd w:val="clear" w:color="auto" w:fill="auto"/>
            <w:noWrap/>
          </w:tcPr>
          <w:p w14:paraId="7AB8394D" w14:textId="77777777" w:rsidR="00B20220" w:rsidRPr="00934AC9" w:rsidRDefault="00917072" w:rsidP="00D52736">
            <w:pPr>
              <w:jc w:val="right"/>
              <w:rPr>
                <w:szCs w:val="24"/>
              </w:rPr>
            </w:pPr>
            <w:r>
              <w:rPr>
                <w:szCs w:val="24"/>
              </w:rPr>
              <w:t>- 8 302</w:t>
            </w:r>
          </w:p>
        </w:tc>
        <w:tc>
          <w:tcPr>
            <w:tcW w:w="1240" w:type="dxa"/>
            <w:tcBorders>
              <w:top w:val="single" w:sz="4" w:space="0" w:color="4F81BD"/>
              <w:left w:val="nil"/>
              <w:bottom w:val="single" w:sz="4" w:space="0" w:color="4F81BD"/>
              <w:right w:val="single" w:sz="4" w:space="0" w:color="4F81BD"/>
            </w:tcBorders>
            <w:shd w:val="clear" w:color="auto" w:fill="auto"/>
            <w:noWrap/>
            <w:vAlign w:val="bottom"/>
          </w:tcPr>
          <w:p w14:paraId="087B4074" w14:textId="77777777" w:rsidR="00B20220" w:rsidRPr="00934AC9" w:rsidRDefault="007938B6" w:rsidP="00D52736">
            <w:pPr>
              <w:jc w:val="right"/>
              <w:rPr>
                <w:szCs w:val="24"/>
              </w:rPr>
            </w:pPr>
            <w:r>
              <w:rPr>
                <w:szCs w:val="24"/>
              </w:rPr>
              <w:t>- 7 717</w:t>
            </w:r>
          </w:p>
        </w:tc>
      </w:tr>
      <w:tr w:rsidR="00B20220" w:rsidRPr="00D52736" w14:paraId="048B26AD" w14:textId="77777777" w:rsidTr="007938B6">
        <w:trPr>
          <w:trHeight w:val="255"/>
        </w:trPr>
        <w:tc>
          <w:tcPr>
            <w:tcW w:w="4080" w:type="dxa"/>
            <w:tcBorders>
              <w:top w:val="single" w:sz="4" w:space="0" w:color="4F81BD"/>
              <w:left w:val="single" w:sz="4" w:space="0" w:color="4F81BD"/>
              <w:bottom w:val="single" w:sz="4" w:space="0" w:color="4F81BD"/>
              <w:right w:val="nil"/>
            </w:tcBorders>
            <w:shd w:val="clear" w:color="auto" w:fill="auto"/>
            <w:noWrap/>
            <w:vAlign w:val="bottom"/>
          </w:tcPr>
          <w:p w14:paraId="527D6859" w14:textId="77777777" w:rsidR="00B20220" w:rsidRPr="00D52736" w:rsidRDefault="00B20220" w:rsidP="00E847BA">
            <w:pPr>
              <w:rPr>
                <w:i/>
                <w:szCs w:val="24"/>
              </w:rPr>
            </w:pPr>
            <w:r w:rsidRPr="00D52736">
              <w:rPr>
                <w:i/>
                <w:szCs w:val="24"/>
              </w:rPr>
              <w:t>Anleggsmidler</w:t>
            </w:r>
            <w:r w:rsidR="00D52736" w:rsidRPr="00D52736">
              <w:rPr>
                <w:i/>
                <w:szCs w:val="24"/>
              </w:rPr>
              <w:t xml:space="preserve"> 31.12</w:t>
            </w:r>
            <w:r w:rsidR="007938B6">
              <w:rPr>
                <w:i/>
                <w:szCs w:val="24"/>
              </w:rPr>
              <w:t xml:space="preserve"> (bokført verdi)</w:t>
            </w:r>
          </w:p>
        </w:tc>
        <w:tc>
          <w:tcPr>
            <w:tcW w:w="1240" w:type="dxa"/>
            <w:tcBorders>
              <w:top w:val="single" w:sz="4" w:space="0" w:color="4F81BD"/>
              <w:left w:val="nil"/>
              <w:bottom w:val="single" w:sz="4" w:space="0" w:color="4F81BD"/>
              <w:right w:val="nil"/>
            </w:tcBorders>
          </w:tcPr>
          <w:p w14:paraId="3018F314" w14:textId="77777777" w:rsidR="00B20220" w:rsidRPr="00D52736" w:rsidRDefault="00D52736" w:rsidP="00D52736">
            <w:pPr>
              <w:jc w:val="right"/>
              <w:rPr>
                <w:i/>
                <w:szCs w:val="24"/>
              </w:rPr>
            </w:pPr>
            <w:r w:rsidRPr="00D52736">
              <w:rPr>
                <w:i/>
                <w:szCs w:val="24"/>
              </w:rPr>
              <w:t>9 241</w:t>
            </w:r>
          </w:p>
        </w:tc>
        <w:tc>
          <w:tcPr>
            <w:tcW w:w="1240" w:type="dxa"/>
            <w:tcBorders>
              <w:top w:val="single" w:sz="4" w:space="0" w:color="4F81BD"/>
              <w:left w:val="nil"/>
              <w:bottom w:val="single" w:sz="4" w:space="0" w:color="4F81BD"/>
              <w:right w:val="nil"/>
            </w:tcBorders>
            <w:shd w:val="clear" w:color="auto" w:fill="auto"/>
            <w:noWrap/>
          </w:tcPr>
          <w:p w14:paraId="48320A73" w14:textId="77777777" w:rsidR="00B20220" w:rsidRPr="00D52736" w:rsidRDefault="00917072" w:rsidP="00D52736">
            <w:pPr>
              <w:jc w:val="right"/>
              <w:rPr>
                <w:i/>
                <w:szCs w:val="24"/>
              </w:rPr>
            </w:pPr>
            <w:r>
              <w:rPr>
                <w:i/>
                <w:szCs w:val="24"/>
              </w:rPr>
              <w:t>8 898</w:t>
            </w:r>
          </w:p>
        </w:tc>
        <w:tc>
          <w:tcPr>
            <w:tcW w:w="1240" w:type="dxa"/>
            <w:tcBorders>
              <w:top w:val="single" w:sz="4" w:space="0" w:color="4F81BD"/>
              <w:left w:val="nil"/>
              <w:bottom w:val="single" w:sz="4" w:space="0" w:color="4F81BD"/>
              <w:right w:val="single" w:sz="4" w:space="0" w:color="4F81BD"/>
            </w:tcBorders>
            <w:shd w:val="clear" w:color="auto" w:fill="auto"/>
            <w:noWrap/>
            <w:vAlign w:val="bottom"/>
          </w:tcPr>
          <w:p w14:paraId="42C7C2DB" w14:textId="77777777" w:rsidR="00B20220" w:rsidRPr="00D52736" w:rsidRDefault="007938B6" w:rsidP="00D52736">
            <w:pPr>
              <w:jc w:val="right"/>
              <w:rPr>
                <w:i/>
                <w:szCs w:val="24"/>
              </w:rPr>
            </w:pPr>
            <w:r>
              <w:rPr>
                <w:i/>
                <w:szCs w:val="24"/>
              </w:rPr>
              <w:t>9 086</w:t>
            </w:r>
          </w:p>
        </w:tc>
      </w:tr>
    </w:tbl>
    <w:p w14:paraId="69576987" w14:textId="77777777" w:rsidR="007938B6" w:rsidRPr="00934AC9" w:rsidRDefault="007938B6" w:rsidP="007938B6">
      <w:pPr>
        <w:rPr>
          <w:rFonts w:eastAsia="Calibri"/>
          <w:i/>
          <w:sz w:val="20"/>
        </w:rPr>
      </w:pPr>
      <w:r w:rsidRPr="00934AC9">
        <w:rPr>
          <w:rFonts w:eastAsia="Calibri"/>
          <w:i/>
          <w:sz w:val="20"/>
        </w:rPr>
        <w:t xml:space="preserve">Tabell </w:t>
      </w:r>
      <w:r>
        <w:rPr>
          <w:rFonts w:eastAsia="Calibri"/>
          <w:i/>
          <w:sz w:val="20"/>
        </w:rPr>
        <w:t>4</w:t>
      </w:r>
      <w:r w:rsidRPr="00934AC9">
        <w:rPr>
          <w:rFonts w:eastAsia="Calibri"/>
          <w:i/>
          <w:sz w:val="20"/>
        </w:rPr>
        <w:t xml:space="preserve">: </w:t>
      </w:r>
      <w:r>
        <w:rPr>
          <w:rFonts w:eastAsia="Calibri"/>
          <w:i/>
          <w:sz w:val="20"/>
        </w:rPr>
        <w:t>Utvikling i anleggsmidler de siste 3 år</w:t>
      </w:r>
    </w:p>
    <w:p w14:paraId="5978401A" w14:textId="77777777" w:rsidR="00B20220" w:rsidRPr="00934AC9" w:rsidRDefault="00B20220" w:rsidP="00B9152B">
      <w:pPr>
        <w:rPr>
          <w:rFonts w:eastAsia="Calibri"/>
          <w:color w:val="808080"/>
          <w:szCs w:val="24"/>
        </w:rPr>
      </w:pPr>
    </w:p>
    <w:p w14:paraId="753FFA09" w14:textId="77777777" w:rsidR="00B9152B" w:rsidRPr="00934AC9" w:rsidRDefault="00B9152B" w:rsidP="00B9152B">
      <w:pPr>
        <w:rPr>
          <w:rFonts w:eastAsia="Calibri"/>
          <w:color w:val="808080"/>
          <w:szCs w:val="24"/>
        </w:rPr>
      </w:pPr>
      <w:r w:rsidRPr="00934AC9">
        <w:rPr>
          <w:rFonts w:eastAsia="Calibri"/>
          <w:szCs w:val="24"/>
        </w:rPr>
        <w:t xml:space="preserve">Opptjent virksomhetskapital tilsvarer resultat fra den oppdragsfinansierte virksomheten og utgjør </w:t>
      </w:r>
      <w:r w:rsidR="00545327">
        <w:rPr>
          <w:rFonts w:eastAsia="Calibri"/>
          <w:szCs w:val="24"/>
        </w:rPr>
        <w:t>189,8</w:t>
      </w:r>
      <w:r w:rsidRPr="00934AC9">
        <w:rPr>
          <w:rFonts w:eastAsia="Calibri"/>
          <w:szCs w:val="24"/>
        </w:rPr>
        <w:t xml:space="preserve"> mill</w:t>
      </w:r>
      <w:r>
        <w:rPr>
          <w:rFonts w:eastAsia="Calibri"/>
          <w:szCs w:val="24"/>
        </w:rPr>
        <w:t xml:space="preserve">. kr., </w:t>
      </w:r>
      <w:r w:rsidRPr="00934AC9">
        <w:rPr>
          <w:rFonts w:eastAsia="Calibri"/>
          <w:szCs w:val="24"/>
        </w:rPr>
        <w:t xml:space="preserve">fordelt henholdsvis mellom aksjer (bundet kapital) </w:t>
      </w:r>
      <w:r>
        <w:rPr>
          <w:rFonts w:eastAsia="Calibri"/>
          <w:szCs w:val="24"/>
        </w:rPr>
        <w:t>74,1</w:t>
      </w:r>
      <w:r w:rsidRPr="00934AC9">
        <w:rPr>
          <w:rFonts w:eastAsia="Calibri"/>
          <w:szCs w:val="24"/>
        </w:rPr>
        <w:t xml:space="preserve"> mill.kr</w:t>
      </w:r>
      <w:r>
        <w:rPr>
          <w:rFonts w:eastAsia="Calibri"/>
          <w:szCs w:val="24"/>
        </w:rPr>
        <w:t>. o</w:t>
      </w:r>
      <w:r w:rsidRPr="00934AC9">
        <w:rPr>
          <w:rFonts w:eastAsia="Calibri"/>
          <w:szCs w:val="24"/>
        </w:rPr>
        <w:t xml:space="preserve">g annen virksomhetskapital </w:t>
      </w:r>
      <w:r w:rsidR="00545327">
        <w:rPr>
          <w:rFonts w:eastAsia="Calibri"/>
          <w:szCs w:val="24"/>
        </w:rPr>
        <w:t>115,7</w:t>
      </w:r>
      <w:r w:rsidRPr="00934AC9">
        <w:rPr>
          <w:rFonts w:eastAsia="Calibri"/>
          <w:szCs w:val="24"/>
        </w:rPr>
        <w:t xml:space="preserve"> mill.kr. Av dette er</w:t>
      </w:r>
      <w:r>
        <w:rPr>
          <w:rFonts w:eastAsia="Calibri"/>
          <w:szCs w:val="24"/>
        </w:rPr>
        <w:t xml:space="preserve"> 93,6</w:t>
      </w:r>
      <w:r w:rsidRPr="00934AC9">
        <w:rPr>
          <w:rFonts w:eastAsia="Calibri"/>
          <w:szCs w:val="24"/>
        </w:rPr>
        <w:t xml:space="preserve"> mill.</w:t>
      </w:r>
      <w:r>
        <w:rPr>
          <w:rFonts w:eastAsia="Calibri"/>
          <w:szCs w:val="24"/>
        </w:rPr>
        <w:t>kr.</w:t>
      </w:r>
      <w:r w:rsidRPr="00934AC9">
        <w:rPr>
          <w:rFonts w:eastAsia="Calibri"/>
          <w:szCs w:val="24"/>
        </w:rPr>
        <w:t xml:space="preserve"> </w:t>
      </w:r>
      <w:r>
        <w:rPr>
          <w:rFonts w:eastAsia="Calibri"/>
          <w:szCs w:val="24"/>
        </w:rPr>
        <w:t>v</w:t>
      </w:r>
      <w:r w:rsidRPr="00934AC9">
        <w:rPr>
          <w:rFonts w:eastAsia="Calibri"/>
          <w:szCs w:val="24"/>
        </w:rPr>
        <w:t>irksomhetskapital</w:t>
      </w:r>
      <w:r>
        <w:rPr>
          <w:rFonts w:eastAsia="Calibri"/>
          <w:szCs w:val="24"/>
        </w:rPr>
        <w:t xml:space="preserve"> </w:t>
      </w:r>
      <w:r w:rsidRPr="00934AC9">
        <w:rPr>
          <w:rFonts w:eastAsia="Calibri"/>
          <w:szCs w:val="24"/>
        </w:rPr>
        <w:t>ved enhetene.</w:t>
      </w:r>
    </w:p>
    <w:p w14:paraId="32682E3F" w14:textId="77777777" w:rsidR="00B9152B" w:rsidRPr="00934AC9" w:rsidRDefault="00B9152B" w:rsidP="00B9152B">
      <w:pPr>
        <w:rPr>
          <w:rFonts w:eastAsia="Calibri"/>
          <w:color w:val="808080"/>
          <w:szCs w:val="24"/>
        </w:rPr>
      </w:pPr>
    </w:p>
    <w:p w14:paraId="61C2EDD8" w14:textId="77777777" w:rsidR="00C94968" w:rsidRDefault="00B9152B" w:rsidP="00B9152B">
      <w:pPr>
        <w:rPr>
          <w:rFonts w:eastAsia="Calibri"/>
          <w:szCs w:val="24"/>
        </w:rPr>
      </w:pPr>
      <w:r w:rsidRPr="00934AC9">
        <w:rPr>
          <w:rFonts w:eastAsia="Calibri"/>
          <w:szCs w:val="24"/>
        </w:rPr>
        <w:t>Alle midler knyttet til bevilgningen fra KD skal avsettes i balanseregnskapet som en langsiktig forpliktelse</w:t>
      </w:r>
      <w:r>
        <w:rPr>
          <w:rFonts w:eastAsia="Calibri"/>
          <w:szCs w:val="24"/>
        </w:rPr>
        <w:t>.</w:t>
      </w:r>
      <w:r w:rsidRPr="00934AC9">
        <w:rPr>
          <w:rFonts w:eastAsia="Calibri"/>
          <w:szCs w:val="24"/>
        </w:rPr>
        <w:t xml:space="preserve"> </w:t>
      </w:r>
      <w:r>
        <w:rPr>
          <w:rFonts w:eastAsia="Calibri"/>
          <w:szCs w:val="24"/>
        </w:rPr>
        <w:t xml:space="preserve"> </w:t>
      </w:r>
      <w:r w:rsidRPr="00934AC9">
        <w:rPr>
          <w:rFonts w:eastAsia="Calibri"/>
          <w:szCs w:val="24"/>
        </w:rPr>
        <w:t>Avsatte midler i balanseregnskapet tilknyttet bevilgninger er pr. 3</w:t>
      </w:r>
      <w:r>
        <w:rPr>
          <w:rFonts w:eastAsia="Calibri"/>
          <w:szCs w:val="24"/>
        </w:rPr>
        <w:t>1</w:t>
      </w:r>
      <w:r w:rsidRPr="00934AC9">
        <w:rPr>
          <w:rFonts w:eastAsia="Calibri"/>
          <w:szCs w:val="24"/>
        </w:rPr>
        <w:t>.</w:t>
      </w:r>
      <w:r>
        <w:rPr>
          <w:rFonts w:eastAsia="Calibri"/>
          <w:szCs w:val="24"/>
        </w:rPr>
        <w:t>12</w:t>
      </w:r>
      <w:r w:rsidRPr="00934AC9">
        <w:rPr>
          <w:rFonts w:eastAsia="Calibri"/>
          <w:szCs w:val="24"/>
        </w:rPr>
        <w:t xml:space="preserve">. kr </w:t>
      </w:r>
      <w:r w:rsidR="00867460">
        <w:rPr>
          <w:rFonts w:eastAsia="Calibri"/>
          <w:szCs w:val="24"/>
        </w:rPr>
        <w:t>321,3</w:t>
      </w:r>
      <w:r w:rsidRPr="00934AC9">
        <w:rPr>
          <w:rFonts w:eastAsia="Calibri"/>
          <w:szCs w:val="24"/>
        </w:rPr>
        <w:t xml:space="preserve"> mill.kr. Note 15 til regnskapet inneholder utfyllende informasjon om innholdet i avsetningen. Det er totalt sett en </w:t>
      </w:r>
      <w:r>
        <w:rPr>
          <w:rFonts w:eastAsia="Calibri"/>
          <w:szCs w:val="24"/>
        </w:rPr>
        <w:t>økning</w:t>
      </w:r>
      <w:r w:rsidRPr="00934AC9">
        <w:rPr>
          <w:rFonts w:eastAsia="Calibri"/>
          <w:szCs w:val="24"/>
        </w:rPr>
        <w:t xml:space="preserve"> </w:t>
      </w:r>
      <w:r>
        <w:rPr>
          <w:rFonts w:eastAsia="Calibri"/>
          <w:szCs w:val="24"/>
        </w:rPr>
        <w:t xml:space="preserve">i avsetning </w:t>
      </w:r>
      <w:r w:rsidRPr="00934AC9">
        <w:rPr>
          <w:rFonts w:eastAsia="Calibri"/>
          <w:szCs w:val="24"/>
        </w:rPr>
        <w:t xml:space="preserve">på </w:t>
      </w:r>
      <w:r w:rsidR="00867460">
        <w:rPr>
          <w:rFonts w:eastAsia="Calibri"/>
          <w:szCs w:val="24"/>
        </w:rPr>
        <w:t>114,9</w:t>
      </w:r>
      <w:r w:rsidRPr="00934AC9">
        <w:rPr>
          <w:rFonts w:eastAsia="Calibri"/>
          <w:szCs w:val="24"/>
        </w:rPr>
        <w:t xml:space="preserve"> mill. kr</w:t>
      </w:r>
      <w:r>
        <w:rPr>
          <w:rFonts w:eastAsia="Calibri"/>
          <w:szCs w:val="24"/>
        </w:rPr>
        <w:t>.</w:t>
      </w:r>
      <w:r w:rsidRPr="00934AC9">
        <w:rPr>
          <w:rFonts w:eastAsia="Calibri"/>
          <w:szCs w:val="24"/>
        </w:rPr>
        <w:t xml:space="preserve"> fra 31.12.1</w:t>
      </w:r>
      <w:r>
        <w:rPr>
          <w:rFonts w:eastAsia="Calibri"/>
          <w:szCs w:val="24"/>
        </w:rPr>
        <w:t>3</w:t>
      </w:r>
      <w:r w:rsidRPr="00934AC9">
        <w:rPr>
          <w:rFonts w:eastAsia="Calibri"/>
          <w:szCs w:val="24"/>
        </w:rPr>
        <w:t>.</w:t>
      </w:r>
    </w:p>
    <w:p w14:paraId="0E2B51D6" w14:textId="77777777" w:rsidR="00C94968" w:rsidRDefault="00C94968" w:rsidP="00B9152B">
      <w:pPr>
        <w:rPr>
          <w:rFonts w:eastAsia="Calibri"/>
          <w:szCs w:val="24"/>
        </w:rPr>
      </w:pPr>
    </w:p>
    <w:p w14:paraId="2EEF3478" w14:textId="77777777" w:rsidR="00B9152B" w:rsidRPr="00934AC9" w:rsidRDefault="00B9152B" w:rsidP="00B9152B">
      <w:pPr>
        <w:rPr>
          <w:rFonts w:eastAsia="Calibri"/>
          <w:szCs w:val="24"/>
        </w:rPr>
      </w:pPr>
      <w:r>
        <w:rPr>
          <w:rFonts w:eastAsia="Calibri"/>
          <w:szCs w:val="24"/>
        </w:rPr>
        <w:t xml:space="preserve">Forskuddsinnbetalte </w:t>
      </w:r>
      <w:r w:rsidRPr="00934AC9">
        <w:rPr>
          <w:rFonts w:eastAsia="Calibri"/>
          <w:szCs w:val="24"/>
        </w:rPr>
        <w:t>midler til bidragsprosjekt, inkl. NFR, skal avsettes i balansen og inntektsføres i takt med aktiviteten</w:t>
      </w:r>
      <w:r>
        <w:rPr>
          <w:rFonts w:eastAsia="Calibri"/>
          <w:szCs w:val="24"/>
        </w:rPr>
        <w:t>.</w:t>
      </w:r>
      <w:r w:rsidRPr="00934AC9">
        <w:rPr>
          <w:rFonts w:eastAsia="Calibri"/>
          <w:szCs w:val="24"/>
        </w:rPr>
        <w:t xml:space="preserve"> Pr. </w:t>
      </w:r>
      <w:r>
        <w:rPr>
          <w:rFonts w:eastAsia="Calibri"/>
          <w:szCs w:val="24"/>
        </w:rPr>
        <w:t>31</w:t>
      </w:r>
      <w:r w:rsidRPr="00934AC9">
        <w:rPr>
          <w:rFonts w:eastAsia="Calibri"/>
          <w:szCs w:val="24"/>
        </w:rPr>
        <w:t>.</w:t>
      </w:r>
      <w:r>
        <w:rPr>
          <w:rFonts w:eastAsia="Calibri"/>
          <w:szCs w:val="24"/>
        </w:rPr>
        <w:t>12</w:t>
      </w:r>
      <w:r w:rsidRPr="00934AC9">
        <w:rPr>
          <w:rFonts w:eastAsia="Calibri"/>
          <w:szCs w:val="24"/>
        </w:rPr>
        <w:t>.1</w:t>
      </w:r>
      <w:r>
        <w:rPr>
          <w:rFonts w:eastAsia="Calibri"/>
          <w:szCs w:val="24"/>
        </w:rPr>
        <w:t>4</w:t>
      </w:r>
      <w:r w:rsidRPr="00934AC9">
        <w:rPr>
          <w:rFonts w:eastAsia="Calibri"/>
          <w:szCs w:val="24"/>
        </w:rPr>
        <w:t xml:space="preserve"> er det avsatt </w:t>
      </w:r>
      <w:r>
        <w:rPr>
          <w:rFonts w:eastAsia="Calibri"/>
          <w:szCs w:val="24"/>
        </w:rPr>
        <w:t>603,6</w:t>
      </w:r>
      <w:r w:rsidRPr="00934AC9">
        <w:rPr>
          <w:rFonts w:eastAsia="Calibri"/>
          <w:szCs w:val="24"/>
        </w:rPr>
        <w:t xml:space="preserve"> mill. kr i balansen. Av dette utgjør innbetalte bidrag fra NFR </w:t>
      </w:r>
      <w:r>
        <w:rPr>
          <w:rFonts w:eastAsia="Calibri"/>
          <w:szCs w:val="24"/>
        </w:rPr>
        <w:t>53,8</w:t>
      </w:r>
      <w:r w:rsidRPr="00934AC9">
        <w:rPr>
          <w:rFonts w:eastAsia="Calibri"/>
          <w:szCs w:val="24"/>
        </w:rPr>
        <w:t xml:space="preserve"> mill</w:t>
      </w:r>
      <w:r>
        <w:rPr>
          <w:rFonts w:eastAsia="Calibri"/>
          <w:szCs w:val="24"/>
        </w:rPr>
        <w:t xml:space="preserve">. kr. </w:t>
      </w:r>
      <w:r w:rsidRPr="00934AC9">
        <w:rPr>
          <w:rFonts w:eastAsia="Calibri"/>
          <w:szCs w:val="24"/>
        </w:rPr>
        <w:t xml:space="preserve">og næringsliv/private aktører kr </w:t>
      </w:r>
      <w:r>
        <w:rPr>
          <w:rFonts w:eastAsia="Calibri"/>
          <w:szCs w:val="24"/>
        </w:rPr>
        <w:t>135,9</w:t>
      </w:r>
      <w:r w:rsidRPr="00934AC9">
        <w:rPr>
          <w:rFonts w:eastAsia="Calibri"/>
          <w:szCs w:val="24"/>
        </w:rPr>
        <w:t xml:space="preserve"> mill.</w:t>
      </w:r>
      <w:r>
        <w:rPr>
          <w:rFonts w:eastAsia="Calibri"/>
          <w:szCs w:val="24"/>
        </w:rPr>
        <w:t>kr. Forskudd fra EU utgjør 85,8 mill. kr. og forskudd fra statlige er på 214,5 mill. kr. Det ligger en forventning om at disse postene reduseres i takt med den planlagte aktiviteten i bidragsprosjektene.</w:t>
      </w:r>
    </w:p>
    <w:p w14:paraId="29BC9C23" w14:textId="77777777" w:rsidR="00A23B0D" w:rsidRDefault="00A23B0D" w:rsidP="00482D4F"/>
    <w:tbl>
      <w:tblPr>
        <w:tblpPr w:leftFromText="141" w:rightFromText="141" w:vertAnchor="text" w:horzAnchor="margin" w:tblpY="62"/>
        <w:tblW w:w="6760" w:type="dxa"/>
        <w:tblCellMar>
          <w:left w:w="70" w:type="dxa"/>
          <w:right w:w="70" w:type="dxa"/>
        </w:tblCellMar>
        <w:tblLook w:val="04A0" w:firstRow="1" w:lastRow="0" w:firstColumn="1" w:lastColumn="0" w:noHBand="0" w:noVBand="1"/>
      </w:tblPr>
      <w:tblGrid>
        <w:gridCol w:w="3040"/>
        <w:gridCol w:w="1240"/>
        <w:gridCol w:w="1240"/>
        <w:gridCol w:w="1240"/>
      </w:tblGrid>
      <w:tr w:rsidR="00390DE0" w:rsidRPr="00934AC9" w14:paraId="3D82F459" w14:textId="77777777" w:rsidTr="00390DE0">
        <w:trPr>
          <w:trHeight w:val="255"/>
        </w:trPr>
        <w:tc>
          <w:tcPr>
            <w:tcW w:w="3040" w:type="dxa"/>
            <w:tcBorders>
              <w:top w:val="single" w:sz="4" w:space="0" w:color="4F81BD"/>
              <w:left w:val="single" w:sz="4" w:space="0" w:color="4F81BD"/>
              <w:bottom w:val="nil"/>
              <w:right w:val="nil"/>
            </w:tcBorders>
            <w:shd w:val="clear" w:color="DCE6F1" w:fill="DCE6F1"/>
            <w:noWrap/>
            <w:vAlign w:val="bottom"/>
            <w:hideMark/>
          </w:tcPr>
          <w:p w14:paraId="43BEBB90" w14:textId="77777777" w:rsidR="00390DE0" w:rsidRPr="00D52736" w:rsidRDefault="00390DE0" w:rsidP="00390DE0">
            <w:pPr>
              <w:rPr>
                <w:bCs/>
                <w:szCs w:val="24"/>
              </w:rPr>
            </w:pPr>
            <w:r w:rsidRPr="00D52736">
              <w:rPr>
                <w:bCs/>
                <w:szCs w:val="24"/>
              </w:rPr>
              <w:t>(mill.kr)</w:t>
            </w:r>
          </w:p>
        </w:tc>
        <w:tc>
          <w:tcPr>
            <w:tcW w:w="1240" w:type="dxa"/>
            <w:tcBorders>
              <w:top w:val="single" w:sz="4" w:space="0" w:color="4F81BD"/>
              <w:left w:val="nil"/>
              <w:bottom w:val="nil"/>
              <w:right w:val="nil"/>
            </w:tcBorders>
            <w:shd w:val="clear" w:color="DCE6F1" w:fill="DCE6F1"/>
          </w:tcPr>
          <w:p w14:paraId="072E5CC8" w14:textId="77777777" w:rsidR="00390DE0" w:rsidRPr="00934AC9" w:rsidRDefault="00390DE0" w:rsidP="00390DE0">
            <w:pPr>
              <w:jc w:val="right"/>
              <w:rPr>
                <w:b/>
                <w:bCs/>
                <w:szCs w:val="24"/>
              </w:rPr>
            </w:pPr>
            <w:r w:rsidRPr="00934AC9">
              <w:rPr>
                <w:b/>
                <w:bCs/>
                <w:szCs w:val="24"/>
              </w:rPr>
              <w:t>201</w:t>
            </w:r>
            <w:r>
              <w:rPr>
                <w:b/>
                <w:bCs/>
                <w:szCs w:val="24"/>
              </w:rPr>
              <w:t>4</w:t>
            </w:r>
          </w:p>
        </w:tc>
        <w:tc>
          <w:tcPr>
            <w:tcW w:w="1240" w:type="dxa"/>
            <w:tcBorders>
              <w:top w:val="single" w:sz="4" w:space="0" w:color="4F81BD"/>
              <w:left w:val="nil"/>
              <w:bottom w:val="nil"/>
              <w:right w:val="nil"/>
            </w:tcBorders>
            <w:shd w:val="clear" w:color="DCE6F1" w:fill="DCE6F1"/>
            <w:noWrap/>
            <w:vAlign w:val="bottom"/>
            <w:hideMark/>
          </w:tcPr>
          <w:p w14:paraId="18AA137D" w14:textId="77777777" w:rsidR="00390DE0" w:rsidRPr="00934AC9" w:rsidRDefault="00390DE0" w:rsidP="00390DE0">
            <w:pPr>
              <w:jc w:val="right"/>
              <w:rPr>
                <w:b/>
                <w:bCs/>
                <w:szCs w:val="24"/>
              </w:rPr>
            </w:pPr>
            <w:r w:rsidRPr="00934AC9">
              <w:rPr>
                <w:b/>
                <w:bCs/>
                <w:szCs w:val="24"/>
              </w:rPr>
              <w:t>201</w:t>
            </w:r>
            <w:r>
              <w:rPr>
                <w:b/>
                <w:bCs/>
                <w:szCs w:val="24"/>
              </w:rPr>
              <w:t>3</w:t>
            </w:r>
          </w:p>
        </w:tc>
        <w:tc>
          <w:tcPr>
            <w:tcW w:w="1240" w:type="dxa"/>
            <w:tcBorders>
              <w:top w:val="single" w:sz="4" w:space="0" w:color="4F81BD"/>
              <w:left w:val="nil"/>
              <w:bottom w:val="nil"/>
              <w:right w:val="single" w:sz="4" w:space="0" w:color="4F81BD"/>
            </w:tcBorders>
            <w:shd w:val="clear" w:color="DCE6F1" w:fill="DCE6F1"/>
            <w:noWrap/>
            <w:vAlign w:val="bottom"/>
            <w:hideMark/>
          </w:tcPr>
          <w:p w14:paraId="4FBA6A0A" w14:textId="77777777" w:rsidR="00390DE0" w:rsidRPr="00934AC9" w:rsidRDefault="00390DE0" w:rsidP="00390DE0">
            <w:pPr>
              <w:jc w:val="right"/>
              <w:rPr>
                <w:b/>
                <w:bCs/>
                <w:szCs w:val="24"/>
              </w:rPr>
            </w:pPr>
            <w:r w:rsidRPr="00934AC9">
              <w:rPr>
                <w:b/>
                <w:bCs/>
                <w:szCs w:val="24"/>
              </w:rPr>
              <w:t>201</w:t>
            </w:r>
            <w:r>
              <w:rPr>
                <w:b/>
                <w:bCs/>
                <w:szCs w:val="24"/>
              </w:rPr>
              <w:t>2</w:t>
            </w:r>
          </w:p>
        </w:tc>
      </w:tr>
      <w:tr w:rsidR="00390DE0" w:rsidRPr="00934AC9" w14:paraId="328AC4F7" w14:textId="77777777" w:rsidTr="00390DE0">
        <w:trPr>
          <w:trHeight w:val="255"/>
        </w:trPr>
        <w:tc>
          <w:tcPr>
            <w:tcW w:w="3040" w:type="dxa"/>
            <w:tcBorders>
              <w:top w:val="single" w:sz="4" w:space="0" w:color="4F81BD"/>
              <w:left w:val="single" w:sz="4" w:space="0" w:color="4F81BD"/>
              <w:bottom w:val="nil"/>
              <w:right w:val="nil"/>
            </w:tcBorders>
            <w:shd w:val="clear" w:color="auto" w:fill="auto"/>
            <w:noWrap/>
            <w:vAlign w:val="bottom"/>
          </w:tcPr>
          <w:p w14:paraId="63E4D7B1" w14:textId="77777777" w:rsidR="00390DE0" w:rsidRPr="00934AC9" w:rsidRDefault="00390DE0" w:rsidP="00390DE0">
            <w:pPr>
              <w:rPr>
                <w:szCs w:val="24"/>
              </w:rPr>
            </w:pPr>
            <w:r>
              <w:rPr>
                <w:szCs w:val="24"/>
              </w:rPr>
              <w:t>Avsetning bevilgning fra KD</w:t>
            </w:r>
          </w:p>
        </w:tc>
        <w:tc>
          <w:tcPr>
            <w:tcW w:w="1240" w:type="dxa"/>
            <w:tcBorders>
              <w:top w:val="single" w:sz="4" w:space="0" w:color="4F81BD"/>
              <w:left w:val="nil"/>
              <w:bottom w:val="nil"/>
              <w:right w:val="nil"/>
            </w:tcBorders>
          </w:tcPr>
          <w:p w14:paraId="5D338794" w14:textId="77777777" w:rsidR="00390DE0" w:rsidRPr="00934AC9" w:rsidRDefault="00390DE0" w:rsidP="00390DE0">
            <w:pPr>
              <w:jc w:val="right"/>
              <w:rPr>
                <w:szCs w:val="24"/>
              </w:rPr>
            </w:pPr>
            <w:r>
              <w:rPr>
                <w:szCs w:val="24"/>
              </w:rPr>
              <w:t>32</w:t>
            </w:r>
            <w:r w:rsidR="00867460">
              <w:rPr>
                <w:szCs w:val="24"/>
              </w:rPr>
              <w:t>1</w:t>
            </w:r>
          </w:p>
        </w:tc>
        <w:tc>
          <w:tcPr>
            <w:tcW w:w="1240" w:type="dxa"/>
            <w:tcBorders>
              <w:top w:val="single" w:sz="4" w:space="0" w:color="4F81BD"/>
              <w:left w:val="nil"/>
              <w:bottom w:val="nil"/>
              <w:right w:val="nil"/>
            </w:tcBorders>
            <w:shd w:val="clear" w:color="auto" w:fill="auto"/>
            <w:noWrap/>
          </w:tcPr>
          <w:p w14:paraId="1CE51049" w14:textId="77777777" w:rsidR="00390DE0" w:rsidRPr="00934AC9" w:rsidRDefault="00390DE0" w:rsidP="00390DE0">
            <w:pPr>
              <w:jc w:val="right"/>
              <w:rPr>
                <w:szCs w:val="24"/>
              </w:rPr>
            </w:pPr>
            <w:r>
              <w:rPr>
                <w:szCs w:val="24"/>
              </w:rPr>
              <w:t>206</w:t>
            </w:r>
          </w:p>
        </w:tc>
        <w:tc>
          <w:tcPr>
            <w:tcW w:w="1240" w:type="dxa"/>
            <w:tcBorders>
              <w:top w:val="single" w:sz="4" w:space="0" w:color="4F81BD"/>
              <w:left w:val="nil"/>
              <w:bottom w:val="nil"/>
              <w:right w:val="single" w:sz="4" w:space="0" w:color="4F81BD"/>
            </w:tcBorders>
            <w:shd w:val="clear" w:color="auto" w:fill="auto"/>
            <w:noWrap/>
            <w:vAlign w:val="bottom"/>
          </w:tcPr>
          <w:p w14:paraId="1AAE79FE" w14:textId="77777777" w:rsidR="00390DE0" w:rsidRPr="00934AC9" w:rsidRDefault="00917072" w:rsidP="00390DE0">
            <w:pPr>
              <w:jc w:val="right"/>
              <w:rPr>
                <w:szCs w:val="24"/>
              </w:rPr>
            </w:pPr>
            <w:r>
              <w:rPr>
                <w:szCs w:val="24"/>
              </w:rPr>
              <w:t>235</w:t>
            </w:r>
          </w:p>
        </w:tc>
      </w:tr>
      <w:tr w:rsidR="00390DE0" w:rsidRPr="00934AC9" w14:paraId="73129880" w14:textId="77777777" w:rsidTr="00390DE0">
        <w:trPr>
          <w:trHeight w:val="255"/>
        </w:trPr>
        <w:tc>
          <w:tcPr>
            <w:tcW w:w="3040" w:type="dxa"/>
            <w:tcBorders>
              <w:top w:val="single" w:sz="4" w:space="0" w:color="4F81BD"/>
              <w:left w:val="single" w:sz="4" w:space="0" w:color="4F81BD"/>
              <w:bottom w:val="nil"/>
              <w:right w:val="nil"/>
            </w:tcBorders>
            <w:shd w:val="clear" w:color="auto" w:fill="auto"/>
            <w:noWrap/>
            <w:vAlign w:val="bottom"/>
          </w:tcPr>
          <w:p w14:paraId="10B2FA58" w14:textId="77777777" w:rsidR="00390DE0" w:rsidRPr="00934AC9" w:rsidRDefault="00390DE0" w:rsidP="00390DE0">
            <w:pPr>
              <w:rPr>
                <w:szCs w:val="24"/>
              </w:rPr>
            </w:pPr>
            <w:r>
              <w:rPr>
                <w:szCs w:val="24"/>
              </w:rPr>
              <w:t>Avsetning bidrag fra NFR</w:t>
            </w:r>
          </w:p>
        </w:tc>
        <w:tc>
          <w:tcPr>
            <w:tcW w:w="1240" w:type="dxa"/>
            <w:tcBorders>
              <w:top w:val="single" w:sz="4" w:space="0" w:color="4F81BD"/>
              <w:left w:val="nil"/>
              <w:bottom w:val="nil"/>
              <w:right w:val="nil"/>
            </w:tcBorders>
          </w:tcPr>
          <w:p w14:paraId="3D3AC7CD" w14:textId="77777777" w:rsidR="00390DE0" w:rsidRPr="00934AC9" w:rsidRDefault="00390DE0" w:rsidP="00390DE0">
            <w:pPr>
              <w:jc w:val="right"/>
              <w:rPr>
                <w:szCs w:val="24"/>
              </w:rPr>
            </w:pPr>
            <w:r>
              <w:rPr>
                <w:szCs w:val="24"/>
              </w:rPr>
              <w:t>54</w:t>
            </w:r>
          </w:p>
        </w:tc>
        <w:tc>
          <w:tcPr>
            <w:tcW w:w="1240" w:type="dxa"/>
            <w:tcBorders>
              <w:top w:val="single" w:sz="4" w:space="0" w:color="4F81BD"/>
              <w:left w:val="nil"/>
              <w:bottom w:val="nil"/>
              <w:right w:val="nil"/>
            </w:tcBorders>
            <w:shd w:val="clear" w:color="auto" w:fill="auto"/>
            <w:noWrap/>
          </w:tcPr>
          <w:p w14:paraId="130FE867" w14:textId="77777777" w:rsidR="00390DE0" w:rsidRPr="00934AC9" w:rsidRDefault="00390DE0" w:rsidP="00390DE0">
            <w:pPr>
              <w:jc w:val="right"/>
              <w:rPr>
                <w:szCs w:val="24"/>
              </w:rPr>
            </w:pPr>
            <w:r>
              <w:rPr>
                <w:szCs w:val="24"/>
              </w:rPr>
              <w:t>53</w:t>
            </w:r>
          </w:p>
        </w:tc>
        <w:tc>
          <w:tcPr>
            <w:tcW w:w="1240" w:type="dxa"/>
            <w:tcBorders>
              <w:top w:val="single" w:sz="4" w:space="0" w:color="4F81BD"/>
              <w:left w:val="nil"/>
              <w:bottom w:val="nil"/>
              <w:right w:val="single" w:sz="4" w:space="0" w:color="4F81BD"/>
            </w:tcBorders>
            <w:shd w:val="clear" w:color="auto" w:fill="auto"/>
            <w:noWrap/>
            <w:vAlign w:val="bottom"/>
          </w:tcPr>
          <w:p w14:paraId="64538498" w14:textId="77777777" w:rsidR="00390DE0" w:rsidRPr="00934AC9" w:rsidRDefault="00917072" w:rsidP="00390DE0">
            <w:pPr>
              <w:jc w:val="right"/>
              <w:rPr>
                <w:szCs w:val="24"/>
              </w:rPr>
            </w:pPr>
            <w:r>
              <w:rPr>
                <w:szCs w:val="24"/>
              </w:rPr>
              <w:t>32</w:t>
            </w:r>
          </w:p>
        </w:tc>
      </w:tr>
      <w:tr w:rsidR="00390DE0" w:rsidRPr="00934AC9" w14:paraId="2C98FD97" w14:textId="77777777" w:rsidTr="00390DE0">
        <w:trPr>
          <w:trHeight w:val="255"/>
        </w:trPr>
        <w:tc>
          <w:tcPr>
            <w:tcW w:w="3040" w:type="dxa"/>
            <w:tcBorders>
              <w:top w:val="single" w:sz="4" w:space="0" w:color="4F81BD"/>
              <w:left w:val="single" w:sz="4" w:space="0" w:color="4F81BD"/>
              <w:bottom w:val="single" w:sz="4" w:space="0" w:color="4F81BD"/>
              <w:right w:val="nil"/>
            </w:tcBorders>
            <w:shd w:val="clear" w:color="auto" w:fill="auto"/>
            <w:noWrap/>
            <w:vAlign w:val="bottom"/>
          </w:tcPr>
          <w:p w14:paraId="2B716C2C" w14:textId="77777777" w:rsidR="00390DE0" w:rsidRPr="00934AC9" w:rsidRDefault="00390DE0" w:rsidP="00390DE0">
            <w:pPr>
              <w:rPr>
                <w:szCs w:val="24"/>
              </w:rPr>
            </w:pPr>
            <w:r>
              <w:rPr>
                <w:szCs w:val="24"/>
              </w:rPr>
              <w:t>Avsetning bidrag fra EU</w:t>
            </w:r>
          </w:p>
        </w:tc>
        <w:tc>
          <w:tcPr>
            <w:tcW w:w="1240" w:type="dxa"/>
            <w:tcBorders>
              <w:top w:val="single" w:sz="4" w:space="0" w:color="4F81BD"/>
              <w:left w:val="nil"/>
              <w:bottom w:val="single" w:sz="4" w:space="0" w:color="4F81BD"/>
              <w:right w:val="nil"/>
            </w:tcBorders>
          </w:tcPr>
          <w:p w14:paraId="394FAF9F" w14:textId="77777777" w:rsidR="00390DE0" w:rsidRPr="00D52736" w:rsidRDefault="00390DE0" w:rsidP="00390DE0">
            <w:pPr>
              <w:jc w:val="right"/>
              <w:rPr>
                <w:szCs w:val="24"/>
              </w:rPr>
            </w:pPr>
            <w:r>
              <w:rPr>
                <w:szCs w:val="24"/>
              </w:rPr>
              <w:t>86</w:t>
            </w:r>
          </w:p>
        </w:tc>
        <w:tc>
          <w:tcPr>
            <w:tcW w:w="1240" w:type="dxa"/>
            <w:tcBorders>
              <w:top w:val="single" w:sz="4" w:space="0" w:color="4F81BD"/>
              <w:left w:val="nil"/>
              <w:bottom w:val="single" w:sz="4" w:space="0" w:color="4F81BD"/>
              <w:right w:val="nil"/>
            </w:tcBorders>
            <w:shd w:val="clear" w:color="auto" w:fill="auto"/>
            <w:noWrap/>
          </w:tcPr>
          <w:p w14:paraId="41114638" w14:textId="77777777" w:rsidR="00390DE0" w:rsidRPr="00934AC9" w:rsidRDefault="00390DE0" w:rsidP="00390DE0">
            <w:pPr>
              <w:jc w:val="right"/>
              <w:rPr>
                <w:szCs w:val="24"/>
              </w:rPr>
            </w:pPr>
            <w:r>
              <w:rPr>
                <w:szCs w:val="24"/>
              </w:rPr>
              <w:t>59</w:t>
            </w:r>
          </w:p>
        </w:tc>
        <w:tc>
          <w:tcPr>
            <w:tcW w:w="1240" w:type="dxa"/>
            <w:tcBorders>
              <w:top w:val="single" w:sz="4" w:space="0" w:color="4F81BD"/>
              <w:left w:val="nil"/>
              <w:bottom w:val="single" w:sz="4" w:space="0" w:color="4F81BD"/>
              <w:right w:val="single" w:sz="4" w:space="0" w:color="4F81BD"/>
            </w:tcBorders>
            <w:shd w:val="clear" w:color="auto" w:fill="auto"/>
            <w:noWrap/>
            <w:vAlign w:val="bottom"/>
          </w:tcPr>
          <w:p w14:paraId="4EBFBBEB" w14:textId="77777777" w:rsidR="00390DE0" w:rsidRPr="00934AC9" w:rsidRDefault="00917072" w:rsidP="00390DE0">
            <w:pPr>
              <w:jc w:val="right"/>
              <w:rPr>
                <w:szCs w:val="24"/>
              </w:rPr>
            </w:pPr>
            <w:r>
              <w:rPr>
                <w:szCs w:val="24"/>
              </w:rPr>
              <w:t>30</w:t>
            </w:r>
          </w:p>
        </w:tc>
      </w:tr>
      <w:tr w:rsidR="00390DE0" w:rsidRPr="00390DE0" w14:paraId="77E48937" w14:textId="77777777" w:rsidTr="00390DE0">
        <w:trPr>
          <w:trHeight w:val="255"/>
        </w:trPr>
        <w:tc>
          <w:tcPr>
            <w:tcW w:w="3040" w:type="dxa"/>
            <w:tcBorders>
              <w:top w:val="single" w:sz="4" w:space="0" w:color="4F81BD"/>
              <w:left w:val="single" w:sz="4" w:space="0" w:color="4F81BD"/>
              <w:bottom w:val="single" w:sz="4" w:space="0" w:color="4F81BD"/>
              <w:right w:val="nil"/>
            </w:tcBorders>
            <w:shd w:val="clear" w:color="auto" w:fill="auto"/>
            <w:noWrap/>
            <w:vAlign w:val="bottom"/>
          </w:tcPr>
          <w:p w14:paraId="04454DD2" w14:textId="77777777" w:rsidR="00390DE0" w:rsidRPr="00390DE0" w:rsidRDefault="00390DE0" w:rsidP="00390DE0">
            <w:pPr>
              <w:rPr>
                <w:szCs w:val="24"/>
              </w:rPr>
            </w:pPr>
            <w:r w:rsidRPr="00390DE0">
              <w:rPr>
                <w:szCs w:val="24"/>
              </w:rPr>
              <w:t>Avsetning, andre bidragsytere</w:t>
            </w:r>
          </w:p>
        </w:tc>
        <w:tc>
          <w:tcPr>
            <w:tcW w:w="1240" w:type="dxa"/>
            <w:tcBorders>
              <w:top w:val="single" w:sz="4" w:space="0" w:color="4F81BD"/>
              <w:left w:val="nil"/>
              <w:bottom w:val="single" w:sz="4" w:space="0" w:color="4F81BD"/>
              <w:right w:val="nil"/>
            </w:tcBorders>
          </w:tcPr>
          <w:p w14:paraId="71C71B19" w14:textId="77777777" w:rsidR="00390DE0" w:rsidRPr="00390DE0" w:rsidRDefault="00390DE0" w:rsidP="00390DE0">
            <w:pPr>
              <w:jc w:val="right"/>
              <w:rPr>
                <w:szCs w:val="24"/>
              </w:rPr>
            </w:pPr>
            <w:r w:rsidRPr="00390DE0">
              <w:rPr>
                <w:szCs w:val="24"/>
              </w:rPr>
              <w:t>464</w:t>
            </w:r>
          </w:p>
        </w:tc>
        <w:tc>
          <w:tcPr>
            <w:tcW w:w="1240" w:type="dxa"/>
            <w:tcBorders>
              <w:top w:val="single" w:sz="4" w:space="0" w:color="4F81BD"/>
              <w:left w:val="nil"/>
              <w:bottom w:val="single" w:sz="4" w:space="0" w:color="4F81BD"/>
              <w:right w:val="nil"/>
            </w:tcBorders>
            <w:shd w:val="clear" w:color="auto" w:fill="auto"/>
            <w:noWrap/>
          </w:tcPr>
          <w:p w14:paraId="7E67758E" w14:textId="77777777" w:rsidR="00390DE0" w:rsidRPr="00390DE0" w:rsidRDefault="00390DE0" w:rsidP="00390DE0">
            <w:pPr>
              <w:jc w:val="right"/>
              <w:rPr>
                <w:szCs w:val="24"/>
              </w:rPr>
            </w:pPr>
            <w:r w:rsidRPr="00390DE0">
              <w:rPr>
                <w:szCs w:val="24"/>
              </w:rPr>
              <w:t>389</w:t>
            </w:r>
          </w:p>
        </w:tc>
        <w:tc>
          <w:tcPr>
            <w:tcW w:w="1240" w:type="dxa"/>
            <w:tcBorders>
              <w:top w:val="single" w:sz="4" w:space="0" w:color="4F81BD"/>
              <w:left w:val="nil"/>
              <w:bottom w:val="single" w:sz="4" w:space="0" w:color="4F81BD"/>
              <w:right w:val="single" w:sz="4" w:space="0" w:color="4F81BD"/>
            </w:tcBorders>
            <w:shd w:val="clear" w:color="auto" w:fill="auto"/>
            <w:noWrap/>
            <w:vAlign w:val="bottom"/>
          </w:tcPr>
          <w:p w14:paraId="6215C2F1" w14:textId="77777777" w:rsidR="00390DE0" w:rsidRPr="00390DE0" w:rsidRDefault="00917072" w:rsidP="00390DE0">
            <w:pPr>
              <w:jc w:val="right"/>
              <w:rPr>
                <w:szCs w:val="24"/>
              </w:rPr>
            </w:pPr>
            <w:r>
              <w:rPr>
                <w:szCs w:val="24"/>
              </w:rPr>
              <w:t>410</w:t>
            </w:r>
          </w:p>
        </w:tc>
      </w:tr>
    </w:tbl>
    <w:p w14:paraId="1570F1E1" w14:textId="77777777" w:rsidR="00D52736" w:rsidRDefault="00D52736" w:rsidP="00482D4F"/>
    <w:p w14:paraId="28FBF19F" w14:textId="77777777" w:rsidR="00E649FC" w:rsidRPr="006C011C" w:rsidRDefault="00E649FC" w:rsidP="00ED2378">
      <w:pPr>
        <w:rPr>
          <w:color w:val="FF0000"/>
        </w:rPr>
      </w:pPr>
    </w:p>
    <w:p w14:paraId="64713308" w14:textId="77777777" w:rsidR="00390DE0" w:rsidRDefault="00390DE0" w:rsidP="00ED2378">
      <w:pPr>
        <w:tabs>
          <w:tab w:val="left" w:pos="993"/>
        </w:tabs>
        <w:rPr>
          <w:color w:val="FF0000"/>
        </w:rPr>
      </w:pPr>
    </w:p>
    <w:p w14:paraId="65BFA4AD" w14:textId="77777777" w:rsidR="00390DE0" w:rsidRDefault="00390DE0" w:rsidP="00ED2378">
      <w:pPr>
        <w:tabs>
          <w:tab w:val="left" w:pos="993"/>
        </w:tabs>
        <w:rPr>
          <w:color w:val="FF0000"/>
        </w:rPr>
      </w:pPr>
    </w:p>
    <w:p w14:paraId="041D7AD6" w14:textId="77777777" w:rsidR="00390DE0" w:rsidRDefault="00390DE0" w:rsidP="00ED2378">
      <w:pPr>
        <w:tabs>
          <w:tab w:val="left" w:pos="993"/>
        </w:tabs>
        <w:rPr>
          <w:color w:val="FF0000"/>
        </w:rPr>
      </w:pPr>
    </w:p>
    <w:p w14:paraId="79FE0C20" w14:textId="77777777" w:rsidR="00390DE0" w:rsidRPr="00C02DF4" w:rsidRDefault="00390DE0" w:rsidP="00C02DF4">
      <w:pPr>
        <w:rPr>
          <w:rFonts w:eastAsia="Calibri"/>
          <w:i/>
          <w:sz w:val="20"/>
        </w:rPr>
      </w:pPr>
    </w:p>
    <w:p w14:paraId="22242428" w14:textId="77777777" w:rsidR="00C02DF4" w:rsidRPr="00934AC9" w:rsidRDefault="00C02DF4" w:rsidP="00C02DF4">
      <w:pPr>
        <w:rPr>
          <w:rFonts w:eastAsia="Calibri"/>
          <w:i/>
          <w:sz w:val="20"/>
        </w:rPr>
      </w:pPr>
      <w:r w:rsidRPr="00934AC9">
        <w:rPr>
          <w:rFonts w:eastAsia="Calibri"/>
          <w:i/>
          <w:sz w:val="20"/>
        </w:rPr>
        <w:t xml:space="preserve">Tabell </w:t>
      </w:r>
      <w:r>
        <w:rPr>
          <w:rFonts w:eastAsia="Calibri"/>
          <w:i/>
          <w:sz w:val="20"/>
        </w:rPr>
        <w:t>5</w:t>
      </w:r>
      <w:r w:rsidRPr="00934AC9">
        <w:rPr>
          <w:rFonts w:eastAsia="Calibri"/>
          <w:i/>
          <w:sz w:val="20"/>
        </w:rPr>
        <w:t xml:space="preserve">: </w:t>
      </w:r>
      <w:r>
        <w:rPr>
          <w:rFonts w:eastAsia="Calibri"/>
          <w:i/>
          <w:sz w:val="20"/>
        </w:rPr>
        <w:t>Utvikling i avsetninger de siste 3 år</w:t>
      </w:r>
    </w:p>
    <w:p w14:paraId="5F8BE82C" w14:textId="77777777" w:rsidR="00390DE0" w:rsidRDefault="00390DE0" w:rsidP="00ED2378">
      <w:pPr>
        <w:tabs>
          <w:tab w:val="left" w:pos="993"/>
        </w:tabs>
        <w:rPr>
          <w:color w:val="FF0000"/>
        </w:rPr>
      </w:pPr>
    </w:p>
    <w:p w14:paraId="1556D16E" w14:textId="77777777" w:rsidR="00390DE0" w:rsidRDefault="00390DE0" w:rsidP="00ED2378">
      <w:pPr>
        <w:tabs>
          <w:tab w:val="left" w:pos="993"/>
        </w:tabs>
        <w:rPr>
          <w:color w:val="FF0000"/>
        </w:rPr>
      </w:pPr>
    </w:p>
    <w:p w14:paraId="3EAD1C96" w14:textId="77777777" w:rsidR="00390DE0" w:rsidRDefault="00390DE0" w:rsidP="00ED2378">
      <w:pPr>
        <w:tabs>
          <w:tab w:val="left" w:pos="993"/>
        </w:tabs>
        <w:rPr>
          <w:color w:val="FF0000"/>
        </w:rPr>
      </w:pPr>
    </w:p>
    <w:p w14:paraId="1DDB6498" w14:textId="4E9F12EE" w:rsidR="002C7941" w:rsidRDefault="00AD5874" w:rsidP="002C7941">
      <w:pPr>
        <w:tabs>
          <w:tab w:val="left" w:pos="993"/>
        </w:tabs>
      </w:pPr>
      <w:r>
        <w:t xml:space="preserve">Vedlegg   </w:t>
      </w:r>
      <w:r w:rsidR="008F3290">
        <w:t>1</w:t>
      </w:r>
      <w:r>
        <w:t xml:space="preserve">. </w:t>
      </w:r>
      <w:hyperlink r:id="rId15" w:history="1">
        <w:r w:rsidR="002C7941" w:rsidRPr="00A763FC">
          <w:rPr>
            <w:rStyle w:val="Hyperkobling"/>
          </w:rPr>
          <w:t>Årsregnskap 2014</w:t>
        </w:r>
      </w:hyperlink>
      <w:bookmarkStart w:id="7" w:name="_GoBack"/>
      <w:bookmarkEnd w:id="7"/>
      <w:r w:rsidR="00BC0EB1">
        <w:t xml:space="preserve"> med </w:t>
      </w:r>
      <w:hyperlink r:id="rId16" w:history="1">
        <w:r w:rsidR="00BC0EB1" w:rsidRPr="00A763FC">
          <w:rPr>
            <w:rStyle w:val="Hyperkobling"/>
          </w:rPr>
          <w:t>s</w:t>
        </w:r>
        <w:r w:rsidR="002C7941" w:rsidRPr="00A763FC">
          <w:rPr>
            <w:rStyle w:val="Hyperkobling"/>
          </w:rPr>
          <w:t xml:space="preserve">tyrets </w:t>
        </w:r>
        <w:r w:rsidR="00581BAC" w:rsidRPr="00A763FC">
          <w:rPr>
            <w:rStyle w:val="Hyperkobling"/>
          </w:rPr>
          <w:t>leder</w:t>
        </w:r>
        <w:r w:rsidR="002C7941" w:rsidRPr="00A763FC">
          <w:rPr>
            <w:rStyle w:val="Hyperkobling"/>
          </w:rPr>
          <w:t>kommentarer</w:t>
        </w:r>
      </w:hyperlink>
    </w:p>
    <w:p w14:paraId="04AEEA32" w14:textId="77777777" w:rsidR="002C7941" w:rsidRDefault="002C7941" w:rsidP="002C7941">
      <w:pPr>
        <w:tabs>
          <w:tab w:val="left" w:pos="993"/>
        </w:tabs>
      </w:pPr>
    </w:p>
    <w:p w14:paraId="455B44E0" w14:textId="77777777" w:rsidR="002C7941" w:rsidRDefault="002C7941" w:rsidP="002C7941">
      <w:pPr>
        <w:tabs>
          <w:tab w:val="left" w:pos="993"/>
        </w:tabs>
      </w:pPr>
    </w:p>
    <w:p w14:paraId="7EB1E81F" w14:textId="77777777" w:rsidR="00E649FC" w:rsidRPr="006C011C" w:rsidRDefault="00E649FC">
      <w:pPr>
        <w:tabs>
          <w:tab w:val="left" w:pos="993"/>
        </w:tabs>
        <w:rPr>
          <w:color w:val="FF0000"/>
        </w:rPr>
      </w:pPr>
    </w:p>
    <w:sectPr w:rsidR="00E649FC" w:rsidRPr="006C011C">
      <w:headerReference w:type="default" r:id="rId17"/>
      <w:footerReference w:type="default" r:id="rId18"/>
      <w:footerReference w:type="first" r:id="rId19"/>
      <w:pgSz w:w="11907" w:h="16840" w:code="9"/>
      <w:pgMar w:top="624" w:right="851" w:bottom="1474" w:left="1247" w:header="624" w:footer="737" w:gutter="0"/>
      <w:paperSrc w:first="1" w:other="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76FC8F" w14:textId="77777777" w:rsidR="005954BF" w:rsidRDefault="005954BF">
      <w:r>
        <w:separator/>
      </w:r>
    </w:p>
  </w:endnote>
  <w:endnote w:type="continuationSeparator" w:id="0">
    <w:p w14:paraId="1BF725B0" w14:textId="77777777" w:rsidR="005954BF" w:rsidRDefault="005954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CD9C6" w14:textId="77777777" w:rsidR="00E847BA" w:rsidRDefault="00E847BA">
    <w:pPr>
      <w:pStyle w:val="Bunntekst"/>
      <w:tabs>
        <w:tab w:val="clear" w:pos="4536"/>
        <w:tab w:val="clear" w:pos="9072"/>
        <w:tab w:val="left" w:pos="2495"/>
        <w:tab w:val="left" w:pos="4990"/>
        <w:tab w:val="left" w:pos="5670"/>
        <w:tab w:val="right" w:pos="9809"/>
      </w:tabs>
      <w:rPr>
        <w:sz w:val="20"/>
      </w:rPr>
    </w:pPr>
    <w:r>
      <w:rPr>
        <w:sz w:val="16"/>
      </w:rPr>
      <w:tab/>
    </w:r>
    <w:r>
      <w:rPr>
        <w:sz w:val="16"/>
      </w:rPr>
      <w:tab/>
    </w:r>
    <w:r>
      <w:rPr>
        <w:sz w:val="16"/>
      </w:rPr>
      <w:tab/>
    </w:r>
    <w:r>
      <w:rPr>
        <w:sz w:val="16"/>
      </w:rPr>
      <w:tab/>
    </w:r>
    <w:r>
      <w:rPr>
        <w:sz w:val="20"/>
      </w:rPr>
      <w:t xml:space="preserve">Side </w:t>
    </w:r>
    <w:r>
      <w:rPr>
        <w:rStyle w:val="Sidetall"/>
        <w:sz w:val="20"/>
      </w:rPr>
      <w:fldChar w:fldCharType="begin"/>
    </w:r>
    <w:r>
      <w:rPr>
        <w:rStyle w:val="Sidetall"/>
        <w:sz w:val="20"/>
      </w:rPr>
      <w:instrText xml:space="preserve"> PAGE </w:instrText>
    </w:r>
    <w:r>
      <w:rPr>
        <w:rStyle w:val="Sidetall"/>
        <w:sz w:val="20"/>
      </w:rPr>
      <w:fldChar w:fldCharType="separate"/>
    </w:r>
    <w:r w:rsidR="00A763FC">
      <w:rPr>
        <w:rStyle w:val="Sidetall"/>
        <w:noProof/>
        <w:sz w:val="20"/>
      </w:rPr>
      <w:t>13</w:t>
    </w:r>
    <w:r>
      <w:rPr>
        <w:rStyle w:val="Sidetall"/>
        <w:sz w:val="20"/>
      </w:rPr>
      <w:fldChar w:fldCharType="end"/>
    </w:r>
    <w:r>
      <w:rPr>
        <w:rStyle w:val="Sidetall"/>
        <w:sz w:val="20"/>
      </w:rPr>
      <w:t xml:space="preserve"> av </w:t>
    </w:r>
    <w:r>
      <w:rPr>
        <w:rStyle w:val="Sidetall"/>
        <w:sz w:val="20"/>
      </w:rPr>
      <w:fldChar w:fldCharType="begin"/>
    </w:r>
    <w:r>
      <w:rPr>
        <w:rStyle w:val="Sidetall"/>
        <w:sz w:val="20"/>
      </w:rPr>
      <w:instrText xml:space="preserve"> NUMPAGES  \* MERGEFORMAT </w:instrText>
    </w:r>
    <w:r>
      <w:rPr>
        <w:rStyle w:val="Sidetall"/>
        <w:sz w:val="20"/>
      </w:rPr>
      <w:fldChar w:fldCharType="separate"/>
    </w:r>
    <w:r w:rsidR="00A763FC">
      <w:rPr>
        <w:rStyle w:val="Sidetall"/>
        <w:noProof/>
        <w:sz w:val="20"/>
      </w:rPr>
      <w:t>13</w:t>
    </w:r>
    <w:r>
      <w:rPr>
        <w:rStyle w:val="Sidetall"/>
        <w:sz w:val="20"/>
      </w:rPr>
      <w:fldChar w:fldCharType="end"/>
    </w:r>
  </w:p>
  <w:p w14:paraId="6DAB7345" w14:textId="77777777" w:rsidR="00E847BA" w:rsidRDefault="00E847BA">
    <w:pPr>
      <w:pStyle w:val="Bunntekst"/>
      <w:tabs>
        <w:tab w:val="clear" w:pos="4536"/>
        <w:tab w:val="clear" w:pos="9072"/>
        <w:tab w:val="left" w:pos="2495"/>
        <w:tab w:val="left" w:pos="4990"/>
        <w:tab w:val="left" w:pos="5670"/>
        <w:tab w:val="right" w:pos="9809"/>
      </w:tabs>
      <w:rPr>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C3BA0" w14:textId="77777777" w:rsidR="00E847BA" w:rsidRDefault="00E847BA">
    <w:pPr>
      <w:pStyle w:val="Bunntekst"/>
      <w:tabs>
        <w:tab w:val="clear" w:pos="4536"/>
        <w:tab w:val="clear" w:pos="9072"/>
        <w:tab w:val="left" w:pos="2495"/>
        <w:tab w:val="left" w:pos="4990"/>
        <w:tab w:val="left" w:pos="5670"/>
        <w:tab w:val="right" w:pos="9809"/>
      </w:tabs>
      <w:rPr>
        <w:sz w:val="20"/>
      </w:rPr>
    </w:pPr>
    <w:r>
      <w:rPr>
        <w:sz w:val="16"/>
      </w:rPr>
      <w:tab/>
    </w:r>
    <w:r>
      <w:rPr>
        <w:sz w:val="16"/>
      </w:rPr>
      <w:tab/>
    </w:r>
    <w:r>
      <w:rPr>
        <w:sz w:val="16"/>
      </w:rPr>
      <w:tab/>
    </w:r>
    <w:r>
      <w:rPr>
        <w:sz w:val="16"/>
      </w:rPr>
      <w:tab/>
    </w:r>
    <w:r>
      <w:rPr>
        <w:sz w:val="20"/>
      </w:rPr>
      <w:t xml:space="preserve">Side </w:t>
    </w:r>
    <w:r>
      <w:rPr>
        <w:rStyle w:val="Sidetall"/>
        <w:sz w:val="20"/>
      </w:rPr>
      <w:fldChar w:fldCharType="begin"/>
    </w:r>
    <w:r>
      <w:rPr>
        <w:rStyle w:val="Sidetall"/>
        <w:sz w:val="20"/>
      </w:rPr>
      <w:instrText xml:space="preserve"> PAGE </w:instrText>
    </w:r>
    <w:r>
      <w:rPr>
        <w:rStyle w:val="Sidetall"/>
        <w:sz w:val="20"/>
      </w:rPr>
      <w:fldChar w:fldCharType="separate"/>
    </w:r>
    <w:r w:rsidR="00A763FC">
      <w:rPr>
        <w:rStyle w:val="Sidetall"/>
        <w:noProof/>
        <w:sz w:val="20"/>
      </w:rPr>
      <w:t>1</w:t>
    </w:r>
    <w:r>
      <w:rPr>
        <w:rStyle w:val="Sidetall"/>
        <w:sz w:val="20"/>
      </w:rPr>
      <w:fldChar w:fldCharType="end"/>
    </w:r>
    <w:r>
      <w:rPr>
        <w:rStyle w:val="Sidetall"/>
        <w:sz w:val="20"/>
      </w:rPr>
      <w:t xml:space="preserve"> av </w:t>
    </w:r>
    <w:r>
      <w:rPr>
        <w:rStyle w:val="Sidetall"/>
        <w:sz w:val="20"/>
      </w:rPr>
      <w:fldChar w:fldCharType="begin"/>
    </w:r>
    <w:r>
      <w:rPr>
        <w:rStyle w:val="Sidetall"/>
        <w:sz w:val="20"/>
      </w:rPr>
      <w:instrText xml:space="preserve"> NUMPAGES  \* MERGEFORMAT </w:instrText>
    </w:r>
    <w:r>
      <w:rPr>
        <w:rStyle w:val="Sidetall"/>
        <w:sz w:val="20"/>
      </w:rPr>
      <w:fldChar w:fldCharType="separate"/>
    </w:r>
    <w:r w:rsidR="00A763FC">
      <w:rPr>
        <w:rStyle w:val="Sidetall"/>
        <w:noProof/>
        <w:sz w:val="20"/>
      </w:rPr>
      <w:t>13</w:t>
    </w:r>
    <w:r>
      <w:rPr>
        <w:rStyle w:val="Sidetall"/>
        <w:sz w:val="20"/>
      </w:rPr>
      <w:fldChar w:fldCharType="end"/>
    </w:r>
  </w:p>
  <w:p w14:paraId="33983015" w14:textId="77777777" w:rsidR="00E847BA" w:rsidRDefault="00E847BA">
    <w:pPr>
      <w:pStyle w:val="Bunntekst"/>
      <w:tabs>
        <w:tab w:val="clear" w:pos="4536"/>
        <w:tab w:val="clear" w:pos="9072"/>
        <w:tab w:val="left" w:pos="2495"/>
        <w:tab w:val="left" w:pos="4990"/>
        <w:tab w:val="left" w:pos="5670"/>
        <w:tab w:val="right" w:pos="9809"/>
      </w:tabs>
      <w:rPr>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79B416" w14:textId="77777777" w:rsidR="005954BF" w:rsidRDefault="005954BF">
      <w:r>
        <w:separator/>
      </w:r>
    </w:p>
  </w:footnote>
  <w:footnote w:type="continuationSeparator" w:id="0">
    <w:p w14:paraId="61D72A0D" w14:textId="77777777" w:rsidR="005954BF" w:rsidRDefault="005954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30E82F" w14:textId="77777777" w:rsidR="00E847BA" w:rsidRDefault="00E847BA">
    <w:pPr>
      <w:pStyle w:val="Topptekst"/>
      <w:spacing w:line="240" w:lineRule="exact"/>
    </w:pPr>
    <w:r>
      <w:t xml:space="preserve"> </w:t>
    </w:r>
  </w:p>
  <w:p w14:paraId="7848203F" w14:textId="77777777" w:rsidR="00E847BA" w:rsidRDefault="00E847BA">
    <w:pPr>
      <w:pStyle w:val="Topptekst"/>
      <w:spacing w:line="240" w:lineRule="exact"/>
    </w:pPr>
    <w:r>
      <w:t xml:space="preserve"> </w:t>
    </w:r>
  </w:p>
  <w:p w14:paraId="020A148A" w14:textId="77777777" w:rsidR="00E847BA" w:rsidRDefault="00E847BA">
    <w:pPr>
      <w:pStyle w:val="Topptekst"/>
      <w:spacing w:line="240" w:lineRule="exact"/>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B033F7"/>
    <w:multiLevelType w:val="hybridMultilevel"/>
    <w:tmpl w:val="F6D4C53C"/>
    <w:lvl w:ilvl="0" w:tplc="BAA6F4F4">
      <w:start w:val="8"/>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1B9A25DF"/>
    <w:multiLevelType w:val="multilevel"/>
    <w:tmpl w:val="18FE2D5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3F06E9A"/>
    <w:multiLevelType w:val="multilevel"/>
    <w:tmpl w:val="18FE2D50"/>
    <w:lvl w:ilvl="0">
      <w:start w:val="1"/>
      <w:numFmt w:val="decimal"/>
      <w:lvlText w:val="%1."/>
      <w:lvlJc w:val="left"/>
      <w:pPr>
        <w:ind w:left="360" w:hanging="360"/>
      </w:pPr>
      <w:rPr>
        <w:rFonts w:hint="default"/>
      </w:rPr>
    </w:lvl>
    <w:lvl w:ilvl="1">
      <w:start w:val="1"/>
      <w:numFmt w:val="decimal"/>
      <w:isLgl/>
      <w:lvlText w:val="%1.%2"/>
      <w:lvlJc w:val="left"/>
      <w:pPr>
        <w:ind w:left="4897" w:hanging="360"/>
      </w:pPr>
      <w:rPr>
        <w:rFonts w:hint="default"/>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4A991719"/>
    <w:multiLevelType w:val="multilevel"/>
    <w:tmpl w:val="BBBA64B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rPr>
        <w:b w:val="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53692DEB"/>
    <w:multiLevelType w:val="hybridMultilevel"/>
    <w:tmpl w:val="AF96C0C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5E676292"/>
    <w:multiLevelType w:val="hybridMultilevel"/>
    <w:tmpl w:val="CE18231C"/>
    <w:lvl w:ilvl="0" w:tplc="98DA78F4">
      <w:start w:val="16"/>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6D563943"/>
    <w:multiLevelType w:val="multilevel"/>
    <w:tmpl w:val="18FE2D50"/>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6E481ECB"/>
    <w:multiLevelType w:val="hybridMultilevel"/>
    <w:tmpl w:val="2606FB5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6F194F20"/>
    <w:multiLevelType w:val="multilevel"/>
    <w:tmpl w:val="18FE2D5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6"/>
  </w:num>
  <w:num w:numId="3">
    <w:abstractNumId w:val="1"/>
  </w:num>
  <w:num w:numId="4">
    <w:abstractNumId w:val="3"/>
  </w:num>
  <w:num w:numId="5">
    <w:abstractNumId w:val="4"/>
  </w:num>
  <w:num w:numId="6">
    <w:abstractNumId w:val="7"/>
  </w:num>
  <w:num w:numId="7">
    <w:abstractNumId w:val="8"/>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C7F"/>
    <w:rsid w:val="00021B5F"/>
    <w:rsid w:val="00021BFD"/>
    <w:rsid w:val="000341CD"/>
    <w:rsid w:val="000363C4"/>
    <w:rsid w:val="00036CFE"/>
    <w:rsid w:val="00051166"/>
    <w:rsid w:val="0005569D"/>
    <w:rsid w:val="00055EBE"/>
    <w:rsid w:val="000633AE"/>
    <w:rsid w:val="000667AE"/>
    <w:rsid w:val="000929C6"/>
    <w:rsid w:val="000B0BAE"/>
    <w:rsid w:val="000B67AC"/>
    <w:rsid w:val="000D6777"/>
    <w:rsid w:val="000E03FB"/>
    <w:rsid w:val="000E0D55"/>
    <w:rsid w:val="000F1A8E"/>
    <w:rsid w:val="000F2FA5"/>
    <w:rsid w:val="000F3DDD"/>
    <w:rsid w:val="000F5CFC"/>
    <w:rsid w:val="000F61E4"/>
    <w:rsid w:val="000F6664"/>
    <w:rsid w:val="000F7D2D"/>
    <w:rsid w:val="00121BFB"/>
    <w:rsid w:val="00123671"/>
    <w:rsid w:val="00123BED"/>
    <w:rsid w:val="001403AC"/>
    <w:rsid w:val="00140D60"/>
    <w:rsid w:val="00141243"/>
    <w:rsid w:val="00142C77"/>
    <w:rsid w:val="00165563"/>
    <w:rsid w:val="00173651"/>
    <w:rsid w:val="0017388B"/>
    <w:rsid w:val="001B2790"/>
    <w:rsid w:val="001B7F4C"/>
    <w:rsid w:val="001C703B"/>
    <w:rsid w:val="001E2591"/>
    <w:rsid w:val="001E522E"/>
    <w:rsid w:val="001E71BD"/>
    <w:rsid w:val="00202DD6"/>
    <w:rsid w:val="00205C9D"/>
    <w:rsid w:val="00210942"/>
    <w:rsid w:val="0021339B"/>
    <w:rsid w:val="00233879"/>
    <w:rsid w:val="00235B6C"/>
    <w:rsid w:val="00246D2F"/>
    <w:rsid w:val="00254693"/>
    <w:rsid w:val="002648D5"/>
    <w:rsid w:val="00264A51"/>
    <w:rsid w:val="00274103"/>
    <w:rsid w:val="00274994"/>
    <w:rsid w:val="002857DA"/>
    <w:rsid w:val="0029312C"/>
    <w:rsid w:val="00295741"/>
    <w:rsid w:val="002B2BAA"/>
    <w:rsid w:val="002B31AD"/>
    <w:rsid w:val="002C7941"/>
    <w:rsid w:val="002D7BD1"/>
    <w:rsid w:val="002D7C82"/>
    <w:rsid w:val="00316F60"/>
    <w:rsid w:val="0032785D"/>
    <w:rsid w:val="00352FE7"/>
    <w:rsid w:val="0036779A"/>
    <w:rsid w:val="00367B95"/>
    <w:rsid w:val="00374123"/>
    <w:rsid w:val="00374A72"/>
    <w:rsid w:val="0038753F"/>
    <w:rsid w:val="00390DE0"/>
    <w:rsid w:val="00395AC4"/>
    <w:rsid w:val="00396EAE"/>
    <w:rsid w:val="003A1A62"/>
    <w:rsid w:val="003A1B2C"/>
    <w:rsid w:val="003A2916"/>
    <w:rsid w:val="003A2EC0"/>
    <w:rsid w:val="003A48C8"/>
    <w:rsid w:val="003A5AD4"/>
    <w:rsid w:val="003A649B"/>
    <w:rsid w:val="003B02C4"/>
    <w:rsid w:val="003B654B"/>
    <w:rsid w:val="003B69B1"/>
    <w:rsid w:val="003C2FC6"/>
    <w:rsid w:val="003E2350"/>
    <w:rsid w:val="003E40FD"/>
    <w:rsid w:val="003F0416"/>
    <w:rsid w:val="003F07E0"/>
    <w:rsid w:val="003F7950"/>
    <w:rsid w:val="00413EBE"/>
    <w:rsid w:val="00417965"/>
    <w:rsid w:val="00420C56"/>
    <w:rsid w:val="00430FEC"/>
    <w:rsid w:val="0044035E"/>
    <w:rsid w:val="004442EA"/>
    <w:rsid w:val="00444998"/>
    <w:rsid w:val="00445EBD"/>
    <w:rsid w:val="00454DB4"/>
    <w:rsid w:val="00455BC9"/>
    <w:rsid w:val="004808D8"/>
    <w:rsid w:val="00482D4F"/>
    <w:rsid w:val="00484BB0"/>
    <w:rsid w:val="004A2DE0"/>
    <w:rsid w:val="004D54A1"/>
    <w:rsid w:val="004E1EE3"/>
    <w:rsid w:val="004E3CE8"/>
    <w:rsid w:val="004E46AA"/>
    <w:rsid w:val="004E7864"/>
    <w:rsid w:val="004F5667"/>
    <w:rsid w:val="004F7B03"/>
    <w:rsid w:val="00501E36"/>
    <w:rsid w:val="00514826"/>
    <w:rsid w:val="005269A8"/>
    <w:rsid w:val="00541087"/>
    <w:rsid w:val="00541650"/>
    <w:rsid w:val="005423BD"/>
    <w:rsid w:val="0054312C"/>
    <w:rsid w:val="00545327"/>
    <w:rsid w:val="00550373"/>
    <w:rsid w:val="00557CB2"/>
    <w:rsid w:val="00580A8D"/>
    <w:rsid w:val="005813DF"/>
    <w:rsid w:val="00581BAC"/>
    <w:rsid w:val="00586256"/>
    <w:rsid w:val="0058790D"/>
    <w:rsid w:val="00591A21"/>
    <w:rsid w:val="005924C6"/>
    <w:rsid w:val="005954BF"/>
    <w:rsid w:val="005978C4"/>
    <w:rsid w:val="005A577A"/>
    <w:rsid w:val="005C2207"/>
    <w:rsid w:val="005C4683"/>
    <w:rsid w:val="005D2FF9"/>
    <w:rsid w:val="005D326A"/>
    <w:rsid w:val="005F01DC"/>
    <w:rsid w:val="005F770B"/>
    <w:rsid w:val="00611345"/>
    <w:rsid w:val="00624446"/>
    <w:rsid w:val="00641856"/>
    <w:rsid w:val="00645F8A"/>
    <w:rsid w:val="006500EC"/>
    <w:rsid w:val="0065500D"/>
    <w:rsid w:val="00660097"/>
    <w:rsid w:val="00663535"/>
    <w:rsid w:val="00674239"/>
    <w:rsid w:val="0067617B"/>
    <w:rsid w:val="00676B46"/>
    <w:rsid w:val="006A5C1D"/>
    <w:rsid w:val="006A7EEF"/>
    <w:rsid w:val="006B3193"/>
    <w:rsid w:val="006B7032"/>
    <w:rsid w:val="006C011C"/>
    <w:rsid w:val="006C0D2A"/>
    <w:rsid w:val="006C424B"/>
    <w:rsid w:val="006D3FCE"/>
    <w:rsid w:val="006E49F5"/>
    <w:rsid w:val="00700F0C"/>
    <w:rsid w:val="00703478"/>
    <w:rsid w:val="00703C7F"/>
    <w:rsid w:val="007051DB"/>
    <w:rsid w:val="00720C63"/>
    <w:rsid w:val="00724293"/>
    <w:rsid w:val="00724EFC"/>
    <w:rsid w:val="0073168F"/>
    <w:rsid w:val="0073210C"/>
    <w:rsid w:val="007332DA"/>
    <w:rsid w:val="00737E4C"/>
    <w:rsid w:val="0074225F"/>
    <w:rsid w:val="00755D89"/>
    <w:rsid w:val="00761FFC"/>
    <w:rsid w:val="0076579E"/>
    <w:rsid w:val="00766E5B"/>
    <w:rsid w:val="0077463F"/>
    <w:rsid w:val="00786173"/>
    <w:rsid w:val="007923F5"/>
    <w:rsid w:val="007938B6"/>
    <w:rsid w:val="007A03EC"/>
    <w:rsid w:val="007A70B4"/>
    <w:rsid w:val="007B2476"/>
    <w:rsid w:val="007D16E4"/>
    <w:rsid w:val="007D206F"/>
    <w:rsid w:val="007F18C5"/>
    <w:rsid w:val="00800626"/>
    <w:rsid w:val="00801B1A"/>
    <w:rsid w:val="008202A7"/>
    <w:rsid w:val="00820E38"/>
    <w:rsid w:val="00822F80"/>
    <w:rsid w:val="00824132"/>
    <w:rsid w:val="00827DC7"/>
    <w:rsid w:val="00846E68"/>
    <w:rsid w:val="0085763E"/>
    <w:rsid w:val="00861480"/>
    <w:rsid w:val="00867460"/>
    <w:rsid w:val="00875B62"/>
    <w:rsid w:val="008A44BD"/>
    <w:rsid w:val="008B4255"/>
    <w:rsid w:val="008C3BA5"/>
    <w:rsid w:val="008C6DCC"/>
    <w:rsid w:val="008D050A"/>
    <w:rsid w:val="008D5391"/>
    <w:rsid w:val="008E3BFE"/>
    <w:rsid w:val="008F3290"/>
    <w:rsid w:val="008F397A"/>
    <w:rsid w:val="008F7AD3"/>
    <w:rsid w:val="00901471"/>
    <w:rsid w:val="0090287C"/>
    <w:rsid w:val="00906FA7"/>
    <w:rsid w:val="009158E5"/>
    <w:rsid w:val="00917072"/>
    <w:rsid w:val="00917C82"/>
    <w:rsid w:val="0092254F"/>
    <w:rsid w:val="00937BC1"/>
    <w:rsid w:val="009426BD"/>
    <w:rsid w:val="00951227"/>
    <w:rsid w:val="00956743"/>
    <w:rsid w:val="00957C26"/>
    <w:rsid w:val="00972438"/>
    <w:rsid w:val="009744C6"/>
    <w:rsid w:val="00975341"/>
    <w:rsid w:val="00977759"/>
    <w:rsid w:val="00977C26"/>
    <w:rsid w:val="00982DE9"/>
    <w:rsid w:val="00986878"/>
    <w:rsid w:val="00986F93"/>
    <w:rsid w:val="0099191F"/>
    <w:rsid w:val="00996C78"/>
    <w:rsid w:val="00997233"/>
    <w:rsid w:val="009A250C"/>
    <w:rsid w:val="009B0D99"/>
    <w:rsid w:val="009C1D02"/>
    <w:rsid w:val="009C6D0D"/>
    <w:rsid w:val="009C7929"/>
    <w:rsid w:val="009D379E"/>
    <w:rsid w:val="009E35FD"/>
    <w:rsid w:val="009F0C81"/>
    <w:rsid w:val="009F153F"/>
    <w:rsid w:val="009F734C"/>
    <w:rsid w:val="00A10911"/>
    <w:rsid w:val="00A11926"/>
    <w:rsid w:val="00A177D8"/>
    <w:rsid w:val="00A23B0D"/>
    <w:rsid w:val="00A317CB"/>
    <w:rsid w:val="00A32B4C"/>
    <w:rsid w:val="00A400B3"/>
    <w:rsid w:val="00A433DF"/>
    <w:rsid w:val="00A43724"/>
    <w:rsid w:val="00A46501"/>
    <w:rsid w:val="00A763FC"/>
    <w:rsid w:val="00A90D05"/>
    <w:rsid w:val="00A93971"/>
    <w:rsid w:val="00A96F79"/>
    <w:rsid w:val="00A973FE"/>
    <w:rsid w:val="00AA0432"/>
    <w:rsid w:val="00AA2281"/>
    <w:rsid w:val="00AC0918"/>
    <w:rsid w:val="00AC18E6"/>
    <w:rsid w:val="00AC31FE"/>
    <w:rsid w:val="00AC3E50"/>
    <w:rsid w:val="00AD5874"/>
    <w:rsid w:val="00AE1307"/>
    <w:rsid w:val="00AF6027"/>
    <w:rsid w:val="00B01130"/>
    <w:rsid w:val="00B11DC7"/>
    <w:rsid w:val="00B20220"/>
    <w:rsid w:val="00B202CD"/>
    <w:rsid w:val="00B24B97"/>
    <w:rsid w:val="00B36A7E"/>
    <w:rsid w:val="00B57F53"/>
    <w:rsid w:val="00B630E8"/>
    <w:rsid w:val="00B63B7C"/>
    <w:rsid w:val="00B77146"/>
    <w:rsid w:val="00B9152B"/>
    <w:rsid w:val="00BA2908"/>
    <w:rsid w:val="00BB1ABB"/>
    <w:rsid w:val="00BB3DFA"/>
    <w:rsid w:val="00BC0EB1"/>
    <w:rsid w:val="00BC61A2"/>
    <w:rsid w:val="00BD7FE8"/>
    <w:rsid w:val="00BE5A93"/>
    <w:rsid w:val="00C02DF4"/>
    <w:rsid w:val="00C05AE8"/>
    <w:rsid w:val="00C072DA"/>
    <w:rsid w:val="00C131CE"/>
    <w:rsid w:val="00C14081"/>
    <w:rsid w:val="00C146C6"/>
    <w:rsid w:val="00C16107"/>
    <w:rsid w:val="00C17049"/>
    <w:rsid w:val="00C278E3"/>
    <w:rsid w:val="00C43862"/>
    <w:rsid w:val="00C5112E"/>
    <w:rsid w:val="00C600D4"/>
    <w:rsid w:val="00C80516"/>
    <w:rsid w:val="00C80AE4"/>
    <w:rsid w:val="00C873E6"/>
    <w:rsid w:val="00C94968"/>
    <w:rsid w:val="00C96B5D"/>
    <w:rsid w:val="00CB07B1"/>
    <w:rsid w:val="00CB2CEC"/>
    <w:rsid w:val="00CC11FB"/>
    <w:rsid w:val="00CC16D7"/>
    <w:rsid w:val="00CC17B3"/>
    <w:rsid w:val="00CC1BDF"/>
    <w:rsid w:val="00CD2B98"/>
    <w:rsid w:val="00CE41A1"/>
    <w:rsid w:val="00CF1A4E"/>
    <w:rsid w:val="00D05186"/>
    <w:rsid w:val="00D13157"/>
    <w:rsid w:val="00D343F8"/>
    <w:rsid w:val="00D4169F"/>
    <w:rsid w:val="00D41A78"/>
    <w:rsid w:val="00D52736"/>
    <w:rsid w:val="00D53FB9"/>
    <w:rsid w:val="00D64B64"/>
    <w:rsid w:val="00D71697"/>
    <w:rsid w:val="00D73ACF"/>
    <w:rsid w:val="00D74BC8"/>
    <w:rsid w:val="00D81C6A"/>
    <w:rsid w:val="00D83D49"/>
    <w:rsid w:val="00DA7756"/>
    <w:rsid w:val="00DC1059"/>
    <w:rsid w:val="00DC57F1"/>
    <w:rsid w:val="00DD0CEA"/>
    <w:rsid w:val="00DE36C4"/>
    <w:rsid w:val="00DE4C02"/>
    <w:rsid w:val="00DE6848"/>
    <w:rsid w:val="00DF01E0"/>
    <w:rsid w:val="00E1115D"/>
    <w:rsid w:val="00E218E7"/>
    <w:rsid w:val="00E244EA"/>
    <w:rsid w:val="00E258BA"/>
    <w:rsid w:val="00E3493C"/>
    <w:rsid w:val="00E34E4D"/>
    <w:rsid w:val="00E50C3A"/>
    <w:rsid w:val="00E53A82"/>
    <w:rsid w:val="00E649FC"/>
    <w:rsid w:val="00E75B25"/>
    <w:rsid w:val="00E811C1"/>
    <w:rsid w:val="00E847BA"/>
    <w:rsid w:val="00E8491C"/>
    <w:rsid w:val="00E944F4"/>
    <w:rsid w:val="00EB2348"/>
    <w:rsid w:val="00EB2D04"/>
    <w:rsid w:val="00EB7558"/>
    <w:rsid w:val="00EC655E"/>
    <w:rsid w:val="00ED2378"/>
    <w:rsid w:val="00ED7F96"/>
    <w:rsid w:val="00EE386F"/>
    <w:rsid w:val="00EE5701"/>
    <w:rsid w:val="00EF32C6"/>
    <w:rsid w:val="00EF4CD1"/>
    <w:rsid w:val="00F07B38"/>
    <w:rsid w:val="00F123F5"/>
    <w:rsid w:val="00F217F8"/>
    <w:rsid w:val="00F257A3"/>
    <w:rsid w:val="00F27A3A"/>
    <w:rsid w:val="00F36545"/>
    <w:rsid w:val="00F450D5"/>
    <w:rsid w:val="00F6016F"/>
    <w:rsid w:val="00F7614F"/>
    <w:rsid w:val="00F83E2A"/>
    <w:rsid w:val="00F91836"/>
    <w:rsid w:val="00F91B0E"/>
    <w:rsid w:val="00F94AB8"/>
    <w:rsid w:val="00F955EA"/>
    <w:rsid w:val="00FA3632"/>
    <w:rsid w:val="00FA4731"/>
    <w:rsid w:val="00FA77C6"/>
    <w:rsid w:val="00FC430F"/>
    <w:rsid w:val="00FC4EEF"/>
    <w:rsid w:val="00FD1F51"/>
    <w:rsid w:val="00FF7B7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B6422D"/>
  <w15:docId w15:val="{0642A6D4-C2B8-4BD5-962D-AF3D2A3A6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Overskrift1">
    <w:name w:val="heading 1"/>
    <w:basedOn w:val="Normal"/>
    <w:next w:val="Normal"/>
    <w:link w:val="Overskrift1Tegn"/>
    <w:qFormat/>
    <w:pPr>
      <w:keepNext/>
      <w:spacing w:before="240" w:after="60"/>
      <w:outlineLvl w:val="0"/>
    </w:pPr>
    <w:rPr>
      <w:b/>
      <w:kern w:val="28"/>
      <w:u w:val="single"/>
    </w:rPr>
  </w:style>
  <w:style w:type="paragraph" w:styleId="Overskrift2">
    <w:name w:val="heading 2"/>
    <w:basedOn w:val="Normal"/>
    <w:next w:val="Normal"/>
    <w:link w:val="Overskrift2Tegn"/>
    <w:qFormat/>
    <w:pPr>
      <w:keepNext/>
      <w:spacing w:before="240" w:after="60"/>
      <w:outlineLvl w:val="1"/>
    </w:pPr>
    <w:rPr>
      <w:b/>
    </w:rPr>
  </w:style>
  <w:style w:type="paragraph" w:styleId="Overskrift3">
    <w:name w:val="heading 3"/>
    <w:basedOn w:val="Normal"/>
    <w:next w:val="Normal"/>
    <w:qFormat/>
    <w:pPr>
      <w:keepNext/>
      <w:spacing w:before="240" w:after="60"/>
      <w:outlineLvl w:val="2"/>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pPr>
      <w:tabs>
        <w:tab w:val="center" w:pos="4536"/>
        <w:tab w:val="right" w:pos="9072"/>
      </w:tabs>
    </w:pPr>
  </w:style>
  <w:style w:type="paragraph" w:styleId="Bunntekst">
    <w:name w:val="footer"/>
    <w:basedOn w:val="Normal"/>
    <w:pPr>
      <w:tabs>
        <w:tab w:val="center" w:pos="4536"/>
        <w:tab w:val="right" w:pos="9072"/>
      </w:tabs>
    </w:pPr>
  </w:style>
  <w:style w:type="character" w:styleId="Sidetall">
    <w:name w:val="page number"/>
    <w:basedOn w:val="Standardskriftforavsnitt"/>
    <w:rPr>
      <w:rFonts w:ascii="Times New Roman" w:hAnsi="Times New Roman"/>
      <w:sz w:val="16"/>
    </w:rPr>
  </w:style>
  <w:style w:type="paragraph" w:customStyle="1" w:styleId="Hode1">
    <w:name w:val="Hode1"/>
    <w:basedOn w:val="Normal"/>
    <w:pPr>
      <w:tabs>
        <w:tab w:val="right" w:pos="9781"/>
      </w:tabs>
    </w:pPr>
    <w:rPr>
      <w:b/>
      <w:sz w:val="28"/>
    </w:rPr>
  </w:style>
  <w:style w:type="paragraph" w:customStyle="1" w:styleId="Hengendeinnrykk">
    <w:name w:val="Hengende innrykk"/>
    <w:basedOn w:val="Normal"/>
    <w:next w:val="Normal"/>
    <w:pPr>
      <w:ind w:left="709" w:hanging="709"/>
    </w:pPr>
  </w:style>
  <w:style w:type="paragraph" w:customStyle="1" w:styleId="Hode">
    <w:name w:val="Hode"/>
    <w:rPr>
      <w:noProof/>
      <w:sz w:val="24"/>
    </w:rPr>
  </w:style>
  <w:style w:type="paragraph" w:customStyle="1" w:styleId="Innrykk">
    <w:name w:val="Innrykk"/>
    <w:basedOn w:val="Normal"/>
    <w:next w:val="Normal"/>
    <w:pPr>
      <w:ind w:left="357"/>
    </w:pPr>
  </w:style>
  <w:style w:type="character" w:customStyle="1" w:styleId="Overskrift1Tegn">
    <w:name w:val="Overskrift 1 Tegn"/>
    <w:basedOn w:val="Standardskriftforavsnitt"/>
    <w:link w:val="Overskrift1"/>
    <w:rsid w:val="00E649FC"/>
    <w:rPr>
      <w:b/>
      <w:kern w:val="28"/>
      <w:sz w:val="24"/>
      <w:u w:val="single"/>
    </w:rPr>
  </w:style>
  <w:style w:type="character" w:customStyle="1" w:styleId="Overskrift2Tegn">
    <w:name w:val="Overskrift 2 Tegn"/>
    <w:basedOn w:val="Standardskriftforavsnitt"/>
    <w:link w:val="Overskrift2"/>
    <w:rsid w:val="00E649FC"/>
    <w:rPr>
      <w:b/>
      <w:sz w:val="24"/>
    </w:rPr>
  </w:style>
  <w:style w:type="paragraph" w:styleId="Bobletekst">
    <w:name w:val="Balloon Text"/>
    <w:basedOn w:val="Normal"/>
    <w:link w:val="BobletekstTegn"/>
    <w:rsid w:val="00E649FC"/>
    <w:rPr>
      <w:rFonts w:ascii="Tahoma" w:hAnsi="Tahoma" w:cs="Tahoma"/>
      <w:sz w:val="16"/>
      <w:szCs w:val="16"/>
    </w:rPr>
  </w:style>
  <w:style w:type="character" w:customStyle="1" w:styleId="BobletekstTegn">
    <w:name w:val="Bobletekst Tegn"/>
    <w:basedOn w:val="Standardskriftforavsnitt"/>
    <w:link w:val="Bobletekst"/>
    <w:rsid w:val="00E649FC"/>
    <w:rPr>
      <w:rFonts w:ascii="Tahoma" w:hAnsi="Tahoma" w:cs="Tahoma"/>
      <w:sz w:val="16"/>
      <w:szCs w:val="16"/>
    </w:rPr>
  </w:style>
  <w:style w:type="paragraph" w:styleId="Listeavsnitt">
    <w:name w:val="List Paragraph"/>
    <w:basedOn w:val="Normal"/>
    <w:uiPriority w:val="34"/>
    <w:qFormat/>
    <w:rsid w:val="00641856"/>
    <w:pPr>
      <w:ind w:left="720"/>
      <w:contextualSpacing/>
    </w:pPr>
  </w:style>
  <w:style w:type="character" w:styleId="Merknadsreferanse">
    <w:name w:val="annotation reference"/>
    <w:basedOn w:val="Standardskriftforavsnitt"/>
    <w:rsid w:val="009B0D99"/>
    <w:rPr>
      <w:sz w:val="16"/>
      <w:szCs w:val="16"/>
    </w:rPr>
  </w:style>
  <w:style w:type="paragraph" w:styleId="Merknadstekst">
    <w:name w:val="annotation text"/>
    <w:basedOn w:val="Normal"/>
    <w:link w:val="MerknadstekstTegn"/>
    <w:rsid w:val="009B0D99"/>
    <w:rPr>
      <w:sz w:val="20"/>
    </w:rPr>
  </w:style>
  <w:style w:type="character" w:customStyle="1" w:styleId="MerknadstekstTegn">
    <w:name w:val="Merknadstekst Tegn"/>
    <w:basedOn w:val="Standardskriftforavsnitt"/>
    <w:link w:val="Merknadstekst"/>
    <w:rsid w:val="009B0D99"/>
  </w:style>
  <w:style w:type="paragraph" w:styleId="Kommentaremne">
    <w:name w:val="annotation subject"/>
    <w:basedOn w:val="Merknadstekst"/>
    <w:next w:val="Merknadstekst"/>
    <w:link w:val="KommentaremneTegn"/>
    <w:rsid w:val="009B0D99"/>
    <w:rPr>
      <w:b/>
      <w:bCs/>
    </w:rPr>
  </w:style>
  <w:style w:type="character" w:customStyle="1" w:styleId="KommentaremneTegn">
    <w:name w:val="Kommentaremne Tegn"/>
    <w:basedOn w:val="MerknadstekstTegn"/>
    <w:link w:val="Kommentaremne"/>
    <w:rsid w:val="009B0D99"/>
    <w:rPr>
      <w:b/>
      <w:bCs/>
    </w:rPr>
  </w:style>
  <w:style w:type="paragraph" w:styleId="NormalWeb">
    <w:name w:val="Normal (Web)"/>
    <w:basedOn w:val="Normal"/>
    <w:uiPriority w:val="99"/>
    <w:unhideWhenUsed/>
    <w:rsid w:val="00374A72"/>
    <w:pPr>
      <w:spacing w:before="100" w:beforeAutospacing="1" w:after="100" w:afterAutospacing="1"/>
    </w:pPr>
    <w:rPr>
      <w:szCs w:val="24"/>
    </w:rPr>
  </w:style>
  <w:style w:type="paragraph" w:customStyle="1" w:styleId="Default">
    <w:name w:val="Default"/>
    <w:rsid w:val="002C7941"/>
    <w:pPr>
      <w:autoSpaceDE w:val="0"/>
      <w:autoSpaceDN w:val="0"/>
      <w:adjustRightInd w:val="0"/>
    </w:pPr>
    <w:rPr>
      <w:rFonts w:ascii="Arial" w:eastAsiaTheme="minorHAnsi" w:hAnsi="Arial" w:cs="Arial"/>
      <w:color w:val="000000"/>
      <w:sz w:val="24"/>
      <w:szCs w:val="24"/>
      <w:lang w:eastAsia="en-US"/>
    </w:rPr>
  </w:style>
  <w:style w:type="paragraph" w:styleId="Bildetekst">
    <w:name w:val="caption"/>
    <w:basedOn w:val="Normal"/>
    <w:next w:val="Normal"/>
    <w:unhideWhenUsed/>
    <w:qFormat/>
    <w:rsid w:val="009E35FD"/>
    <w:pPr>
      <w:spacing w:after="200"/>
    </w:pPr>
    <w:rPr>
      <w:i/>
      <w:iCs/>
      <w:color w:val="1F497D" w:themeColor="text2"/>
      <w:sz w:val="18"/>
      <w:szCs w:val="18"/>
    </w:rPr>
  </w:style>
  <w:style w:type="character" w:styleId="Hyperkobling">
    <w:name w:val="Hyperlink"/>
    <w:basedOn w:val="Standardskriftforavsnitt"/>
    <w:unhideWhenUsed/>
    <w:rsid w:val="00A763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832130">
      <w:bodyDiv w:val="1"/>
      <w:marLeft w:val="0"/>
      <w:marRight w:val="0"/>
      <w:marTop w:val="0"/>
      <w:marBottom w:val="0"/>
      <w:divBdr>
        <w:top w:val="none" w:sz="0" w:space="0" w:color="auto"/>
        <w:left w:val="none" w:sz="0" w:space="0" w:color="auto"/>
        <w:bottom w:val="none" w:sz="0" w:space="0" w:color="auto"/>
        <w:right w:val="none" w:sz="0" w:space="0" w:color="auto"/>
      </w:divBdr>
    </w:div>
    <w:div w:id="91111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S-3.15%20vedl%201%20Lederkommentarer%20til%20regnskapet.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yperlink" Target="S-3.15%20%20vedl%202%20&#197;rsregnskap%202014.pdf" TargetMode="External"/><Relationship Id="rId10" Type="http://schemas.openxmlformats.org/officeDocument/2006/relationships/chart" Target="charts/chart3.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_rels/settings.xml.rels><?xml version="1.0" encoding="UTF-8" standalone="yes"?>
<Relationships xmlns="http://schemas.openxmlformats.org/package/2006/relationships"><Relationship Id="rId1" Type="http://schemas.openxmlformats.org/officeDocument/2006/relationships/attachedTemplate" Target="file:///\\felles.ansatt.ntnu.no\felles\maler\RE\KOLL_NOT.do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regneark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regneark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regneark3.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regneark4.xlsx"/><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regneark5.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regneark6.xlsx"/><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regneark7.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Budsjettavvik pr år, totalt NTNU</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areaChart>
        <c:grouping val="standard"/>
        <c:varyColors val="0"/>
        <c:ser>
          <c:idx val="0"/>
          <c:order val="0"/>
          <c:spPr>
            <a:solidFill>
              <a:schemeClr val="accent1"/>
            </a:solidFill>
            <a:ln>
              <a:noFill/>
            </a:ln>
            <a:effectLst/>
          </c:spPr>
          <c:cat>
            <c:numRef>
              <c:f>'Avvik i % av bev Fak og VM '!$B$47:$H$47</c:f>
              <c:numCache>
                <c:formatCode>General</c:formatCode>
                <c:ptCount val="7"/>
                <c:pt idx="0">
                  <c:v>2008</c:v>
                </c:pt>
                <c:pt idx="1">
                  <c:v>2009</c:v>
                </c:pt>
                <c:pt idx="2">
                  <c:v>2010</c:v>
                </c:pt>
                <c:pt idx="3">
                  <c:v>2011</c:v>
                </c:pt>
                <c:pt idx="4">
                  <c:v>2012</c:v>
                </c:pt>
                <c:pt idx="5">
                  <c:v>2013</c:v>
                </c:pt>
                <c:pt idx="6">
                  <c:v>2014</c:v>
                </c:pt>
              </c:numCache>
            </c:numRef>
          </c:cat>
          <c:val>
            <c:numRef>
              <c:f>'Avvik i % av bev Fak og VM '!$B$48:$H$48</c:f>
              <c:numCache>
                <c:formatCode>_ * #,##0_ ;_ * \-#,##0_ ;_ * "-"??_ ;_ @_ </c:formatCode>
                <c:ptCount val="7"/>
                <c:pt idx="0">
                  <c:v>238242</c:v>
                </c:pt>
                <c:pt idx="1">
                  <c:v>155164.55179999804</c:v>
                </c:pt>
                <c:pt idx="2">
                  <c:v>126258.84847000023</c:v>
                </c:pt>
                <c:pt idx="3">
                  <c:v>76993.63185000034</c:v>
                </c:pt>
                <c:pt idx="4">
                  <c:v>72408.390120001975</c:v>
                </c:pt>
                <c:pt idx="5">
                  <c:v>146640.06433999952</c:v>
                </c:pt>
                <c:pt idx="6">
                  <c:v>114406</c:v>
                </c:pt>
              </c:numCache>
            </c:numRef>
          </c:val>
        </c:ser>
        <c:dLbls>
          <c:showLegendKey val="0"/>
          <c:showVal val="0"/>
          <c:showCatName val="0"/>
          <c:showSerName val="0"/>
          <c:showPercent val="0"/>
          <c:showBubbleSize val="0"/>
        </c:dLbls>
        <c:axId val="159284160"/>
        <c:axId val="159284552"/>
      </c:areaChart>
      <c:catAx>
        <c:axId val="15928416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9284552"/>
        <c:crosses val="autoZero"/>
        <c:auto val="1"/>
        <c:lblAlgn val="ctr"/>
        <c:lblOffset val="100"/>
        <c:noMultiLvlLbl val="0"/>
      </c:catAx>
      <c:valAx>
        <c:axId val="159284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tusen kr</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b-NO"/>
            </a:p>
          </c:txPr>
        </c:title>
        <c:numFmt formatCode="_ * #,##0_ ;_ * \-#,##0_ ;_ * &quot;-&quot;??_ ;_ @_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5928416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n-US"/>
              <a:t>Ubrukte bevilgninger</a:t>
            </a:r>
          </a:p>
        </c:rich>
      </c:tx>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nb-NO"/>
        </a:p>
      </c:txPr>
    </c:title>
    <c:autoTitleDeleted val="0"/>
    <c:plotArea>
      <c:layout>
        <c:manualLayout>
          <c:layoutTarget val="inner"/>
          <c:xMode val="edge"/>
          <c:yMode val="edge"/>
          <c:x val="8.9630033359232156E-2"/>
          <c:y val="0.1169969495717294"/>
          <c:w val="0.88876957390635447"/>
          <c:h val="0.62451465768127457"/>
        </c:manualLayout>
      </c:layout>
      <c:lineChart>
        <c:grouping val="standard"/>
        <c:varyColors val="0"/>
        <c:ser>
          <c:idx val="0"/>
          <c:order val="0"/>
          <c:tx>
            <c:strRef>
              <c:f>NTNU!$A$13</c:f>
              <c:strCache>
                <c:ptCount val="1"/>
                <c:pt idx="0">
                  <c:v>NTNU</c:v>
                </c:pt>
              </c:strCache>
            </c:strRef>
          </c:tx>
          <c:spPr>
            <a:ln w="22225" cap="rnd" cmpd="sng" algn="ctr">
              <a:solidFill>
                <a:schemeClr val="accent1"/>
              </a:solidFill>
              <a:round/>
            </a:ln>
            <a:effectLst/>
          </c:spPr>
          <c:marker>
            <c:symbol val="none"/>
          </c:marker>
          <c:cat>
            <c:strRef>
              <c:extLst>
                <c:ext xmlns:c15="http://schemas.microsoft.com/office/drawing/2012/chart" uri="{02D57815-91ED-43cb-92C2-25804820EDAC}">
                  <c15:fullRef>
                    <c15:sqref>NTNU!$B$12:$J$12</c15:sqref>
                  </c15:fullRef>
                </c:ext>
              </c:extLst>
              <c:f>NTNU!$F$12:$J$12</c:f>
              <c:strCache>
                <c:ptCount val="5"/>
                <c:pt idx="0">
                  <c:v>Regskap 2014</c:v>
                </c:pt>
                <c:pt idx="1">
                  <c:v>Budsjett 2015</c:v>
                </c:pt>
                <c:pt idx="2">
                  <c:v>Budsjett 2016</c:v>
                </c:pt>
                <c:pt idx="3">
                  <c:v>Budsjett 2017</c:v>
                </c:pt>
                <c:pt idx="4">
                  <c:v>Budsjett 2018</c:v>
                </c:pt>
              </c:strCache>
            </c:strRef>
          </c:cat>
          <c:val>
            <c:numRef>
              <c:extLst>
                <c:ext xmlns:c15="http://schemas.microsoft.com/office/drawing/2012/chart" uri="{02D57815-91ED-43cb-92C2-25804820EDAC}">
                  <c15:fullRef>
                    <c15:sqref>NTNU!$B$13:$J$13</c15:sqref>
                  </c15:fullRef>
                </c:ext>
              </c:extLst>
              <c:f>NTNU!$F$13:$J$13</c:f>
              <c:numCache>
                <c:formatCode>#,##0</c:formatCode>
                <c:ptCount val="5"/>
                <c:pt idx="0">
                  <c:v>322000</c:v>
                </c:pt>
                <c:pt idx="1">
                  <c:v>250061.72433551215</c:v>
                </c:pt>
                <c:pt idx="2">
                  <c:v>217074.09571372159</c:v>
                </c:pt>
                <c:pt idx="3">
                  <c:v>280758.79330551531</c:v>
                </c:pt>
                <c:pt idx="4">
                  <c:v>332808.84598327149</c:v>
                </c:pt>
              </c:numCache>
            </c:numRef>
          </c:val>
          <c:smooth val="0"/>
        </c:ser>
        <c:ser>
          <c:idx val="2"/>
          <c:order val="1"/>
          <c:tx>
            <c:strRef>
              <c:f>NTNU!$A$22</c:f>
              <c:strCache>
                <c:ptCount val="1"/>
                <c:pt idx="0">
                  <c:v>Nedre grense 5 %</c:v>
                </c:pt>
              </c:strCache>
            </c:strRef>
          </c:tx>
          <c:spPr>
            <a:ln w="22225" cap="rnd" cmpd="sng" algn="ctr">
              <a:solidFill>
                <a:schemeClr val="accent2"/>
              </a:solidFill>
              <a:round/>
            </a:ln>
            <a:effectLst/>
          </c:spPr>
          <c:marker>
            <c:symbol val="none"/>
          </c:marker>
          <c:cat>
            <c:strRef>
              <c:extLst>
                <c:ext xmlns:c15="http://schemas.microsoft.com/office/drawing/2012/chart" uri="{02D57815-91ED-43cb-92C2-25804820EDAC}">
                  <c15:fullRef>
                    <c15:sqref>NTNU!$B$12:$J$12</c15:sqref>
                  </c15:fullRef>
                </c:ext>
              </c:extLst>
              <c:f>NTNU!$F$12:$J$12</c:f>
              <c:strCache>
                <c:ptCount val="5"/>
                <c:pt idx="0">
                  <c:v>Regskap 2014</c:v>
                </c:pt>
                <c:pt idx="1">
                  <c:v>Budsjett 2015</c:v>
                </c:pt>
                <c:pt idx="2">
                  <c:v>Budsjett 2016</c:v>
                </c:pt>
                <c:pt idx="3">
                  <c:v>Budsjett 2017</c:v>
                </c:pt>
                <c:pt idx="4">
                  <c:v>Budsjett 2018</c:v>
                </c:pt>
              </c:strCache>
            </c:strRef>
          </c:cat>
          <c:val>
            <c:numRef>
              <c:extLst>
                <c:ext xmlns:c15="http://schemas.microsoft.com/office/drawing/2012/chart" uri="{02D57815-91ED-43cb-92C2-25804820EDAC}">
                  <c15:fullRef>
                    <c15:sqref>NTNU!$B$22:$J$22</c15:sqref>
                  </c15:fullRef>
                </c:ext>
              </c:extLst>
              <c:f>NTNU!$F$22:$J$22</c:f>
              <c:numCache>
                <c:formatCode>_ * #,##0_ ;_ * \-#,##0_ ;_ * "-"??_ ;_ @_ </c:formatCode>
                <c:ptCount val="5"/>
                <c:pt idx="0">
                  <c:v>210606.25585614765</c:v>
                </c:pt>
                <c:pt idx="1">
                  <c:v>210606.25585614765</c:v>
                </c:pt>
                <c:pt idx="2">
                  <c:v>210606.25585614765</c:v>
                </c:pt>
                <c:pt idx="3">
                  <c:v>210606.25585614765</c:v>
                </c:pt>
                <c:pt idx="4">
                  <c:v>210606.25585614765</c:v>
                </c:pt>
              </c:numCache>
            </c:numRef>
          </c:val>
          <c:smooth val="0"/>
        </c:ser>
        <c:ser>
          <c:idx val="3"/>
          <c:order val="2"/>
          <c:tx>
            <c:strRef>
              <c:f>NTNU!$A$23</c:f>
              <c:strCache>
                <c:ptCount val="1"/>
                <c:pt idx="0">
                  <c:v>Øvre grense 10 %</c:v>
                </c:pt>
              </c:strCache>
            </c:strRef>
          </c:tx>
          <c:spPr>
            <a:ln w="22225" cap="rnd" cmpd="sng" algn="ctr">
              <a:solidFill>
                <a:schemeClr val="accent2"/>
              </a:solidFill>
              <a:round/>
            </a:ln>
            <a:effectLst/>
          </c:spPr>
          <c:marker>
            <c:symbol val="none"/>
          </c:marker>
          <c:cat>
            <c:strRef>
              <c:extLst>
                <c:ext xmlns:c15="http://schemas.microsoft.com/office/drawing/2012/chart" uri="{02D57815-91ED-43cb-92C2-25804820EDAC}">
                  <c15:fullRef>
                    <c15:sqref>NTNU!$B$12:$J$12</c15:sqref>
                  </c15:fullRef>
                </c:ext>
              </c:extLst>
              <c:f>NTNU!$F$12:$J$12</c:f>
              <c:strCache>
                <c:ptCount val="5"/>
                <c:pt idx="0">
                  <c:v>Regskap 2014</c:v>
                </c:pt>
                <c:pt idx="1">
                  <c:v>Budsjett 2015</c:v>
                </c:pt>
                <c:pt idx="2">
                  <c:v>Budsjett 2016</c:v>
                </c:pt>
                <c:pt idx="3">
                  <c:v>Budsjett 2017</c:v>
                </c:pt>
                <c:pt idx="4">
                  <c:v>Budsjett 2018</c:v>
                </c:pt>
              </c:strCache>
            </c:strRef>
          </c:cat>
          <c:val>
            <c:numRef>
              <c:extLst>
                <c:ext xmlns:c15="http://schemas.microsoft.com/office/drawing/2012/chart" uri="{02D57815-91ED-43cb-92C2-25804820EDAC}">
                  <c15:fullRef>
                    <c15:sqref>NTNU!$B$23:$J$23</c15:sqref>
                  </c15:fullRef>
                </c:ext>
              </c:extLst>
              <c:f>NTNU!$F$23:$J$23</c:f>
              <c:numCache>
                <c:formatCode>_ * #,##0_ ;_ * \-#,##0_ ;_ * "-"??_ ;_ @_ </c:formatCode>
                <c:ptCount val="5"/>
                <c:pt idx="0">
                  <c:v>421212.51171229529</c:v>
                </c:pt>
                <c:pt idx="1">
                  <c:v>421212.51171229529</c:v>
                </c:pt>
                <c:pt idx="2">
                  <c:v>421212.51171229529</c:v>
                </c:pt>
                <c:pt idx="3">
                  <c:v>421212.51171229529</c:v>
                </c:pt>
                <c:pt idx="4">
                  <c:v>421212.51171229529</c:v>
                </c:pt>
              </c:numCache>
            </c:numRef>
          </c:val>
          <c:smooth val="0"/>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59285336"/>
        <c:axId val="159285728"/>
      </c:lineChart>
      <c:catAx>
        <c:axId val="15928533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nb-NO"/>
          </a:p>
        </c:txPr>
        <c:crossAx val="159285728"/>
        <c:crosses val="autoZero"/>
        <c:auto val="1"/>
        <c:lblAlgn val="ctr"/>
        <c:lblOffset val="100"/>
        <c:noMultiLvlLbl val="0"/>
      </c:catAx>
      <c:valAx>
        <c:axId val="1592857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nb-NO"/>
          </a:p>
        </c:txPr>
        <c:crossAx val="159285336"/>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nb-NO"/>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Utvikling total BOA-aktivitet</a:t>
            </a:r>
          </a:p>
        </c:rich>
      </c:tx>
      <c:layout>
        <c:manualLayout>
          <c:xMode val="edge"/>
          <c:yMode val="edge"/>
          <c:x val="0.39210676967265878"/>
          <c:y val="2.7848688790902763E-2"/>
        </c:manualLayout>
      </c:layout>
      <c:overlay val="0"/>
    </c:title>
    <c:autoTitleDeleted val="0"/>
    <c:plotArea>
      <c:layout>
        <c:manualLayout>
          <c:layoutTarget val="inner"/>
          <c:xMode val="edge"/>
          <c:yMode val="edge"/>
          <c:x val="0.2795181549973243"/>
          <c:y val="0.14435878562481438"/>
          <c:w val="0.72048184500267576"/>
          <c:h val="0.63748838976012268"/>
        </c:manualLayout>
      </c:layout>
      <c:lineChart>
        <c:grouping val="standard"/>
        <c:varyColors val="0"/>
        <c:ser>
          <c:idx val="0"/>
          <c:order val="0"/>
          <c:tx>
            <c:v>Utvikling i 2014-kr</c:v>
          </c:tx>
          <c:marker>
            <c:symbol val="none"/>
          </c:marker>
          <c:cat>
            <c:numRef>
              <c:f>'BOA 2002-2013'!$G$68:$G$72</c:f>
              <c:numCache>
                <c:formatCode>General</c:formatCode>
                <c:ptCount val="5"/>
                <c:pt idx="0">
                  <c:v>2010</c:v>
                </c:pt>
                <c:pt idx="1">
                  <c:v>2011</c:v>
                </c:pt>
                <c:pt idx="2">
                  <c:v>2012</c:v>
                </c:pt>
                <c:pt idx="3">
                  <c:v>2013</c:v>
                </c:pt>
                <c:pt idx="4">
                  <c:v>2014</c:v>
                </c:pt>
              </c:numCache>
            </c:numRef>
          </c:cat>
          <c:val>
            <c:numRef>
              <c:f>'BOA 2002-2013'!$I$68:$I$72</c:f>
              <c:numCache>
                <c:formatCode>_(* #,##0_);_(* \(#,##0\);_(* "-"??_);_(@_)</c:formatCode>
                <c:ptCount val="5"/>
                <c:pt idx="0">
                  <c:v>1416404.7982091729</c:v>
                </c:pt>
                <c:pt idx="1">
                  <c:v>1502959.6164507437</c:v>
                </c:pt>
                <c:pt idx="2">
                  <c:v>1507348.4959470001</c:v>
                </c:pt>
                <c:pt idx="3">
                  <c:v>1526495.3153559898</c:v>
                </c:pt>
                <c:pt idx="4">
                  <c:v>1520161</c:v>
                </c:pt>
              </c:numCache>
            </c:numRef>
          </c:val>
          <c:smooth val="0"/>
        </c:ser>
        <c:ser>
          <c:idx val="1"/>
          <c:order val="1"/>
          <c:tx>
            <c:v>Nominell utvikling</c:v>
          </c:tx>
          <c:marker>
            <c:symbol val="none"/>
          </c:marker>
          <c:cat>
            <c:numRef>
              <c:f>'BOA 2002-2013'!$G$68:$G$72</c:f>
              <c:numCache>
                <c:formatCode>General</c:formatCode>
                <c:ptCount val="5"/>
                <c:pt idx="0">
                  <c:v>2010</c:v>
                </c:pt>
                <c:pt idx="1">
                  <c:v>2011</c:v>
                </c:pt>
                <c:pt idx="2">
                  <c:v>2012</c:v>
                </c:pt>
                <c:pt idx="3">
                  <c:v>2013</c:v>
                </c:pt>
                <c:pt idx="4">
                  <c:v>2014</c:v>
                </c:pt>
              </c:numCache>
            </c:numRef>
          </c:cat>
          <c:val>
            <c:numRef>
              <c:f>'BOA 2002-2013'!$H$68:$H$72</c:f>
              <c:numCache>
                <c:formatCode>_(* #,##0_);_(* \(#,##0\);_(* "-"??_);_(@_)</c:formatCode>
                <c:ptCount val="5"/>
                <c:pt idx="0">
                  <c:v>1254399.75</c:v>
                </c:pt>
                <c:pt idx="1">
                  <c:v>1373648.38</c:v>
                </c:pt>
                <c:pt idx="2">
                  <c:v>1418071</c:v>
                </c:pt>
                <c:pt idx="3">
                  <c:v>1483474.5533099999</c:v>
                </c:pt>
                <c:pt idx="4">
                  <c:v>1520161</c:v>
                </c:pt>
              </c:numCache>
            </c:numRef>
          </c:val>
          <c:smooth val="0"/>
        </c:ser>
        <c:dLbls>
          <c:showLegendKey val="0"/>
          <c:showVal val="0"/>
          <c:showCatName val="0"/>
          <c:showSerName val="0"/>
          <c:showPercent val="0"/>
          <c:showBubbleSize val="0"/>
        </c:dLbls>
        <c:smooth val="0"/>
        <c:axId val="159282592"/>
        <c:axId val="156503144"/>
      </c:lineChart>
      <c:catAx>
        <c:axId val="159282592"/>
        <c:scaling>
          <c:orientation val="minMax"/>
        </c:scaling>
        <c:delete val="0"/>
        <c:axPos val="b"/>
        <c:numFmt formatCode="General" sourceLinked="1"/>
        <c:majorTickMark val="none"/>
        <c:minorTickMark val="none"/>
        <c:tickLblPos val="nextTo"/>
        <c:crossAx val="156503144"/>
        <c:crosses val="autoZero"/>
        <c:auto val="1"/>
        <c:lblAlgn val="ctr"/>
        <c:lblOffset val="100"/>
        <c:noMultiLvlLbl val="0"/>
      </c:catAx>
      <c:valAx>
        <c:axId val="156503144"/>
        <c:scaling>
          <c:orientation val="minMax"/>
          <c:max val="1600000"/>
          <c:min val="0"/>
        </c:scaling>
        <c:delete val="0"/>
        <c:axPos val="l"/>
        <c:majorGridlines/>
        <c:title>
          <c:tx>
            <c:rich>
              <a:bodyPr/>
              <a:lstStyle/>
              <a:p>
                <a:pPr>
                  <a:defRPr/>
                </a:pPr>
                <a:r>
                  <a:rPr lang="nb-NO"/>
                  <a:t>1000</a:t>
                </a:r>
                <a:r>
                  <a:rPr lang="nb-NO" baseline="0"/>
                  <a:t> kr</a:t>
                </a:r>
                <a:endParaRPr lang="nb-NO"/>
              </a:p>
            </c:rich>
          </c:tx>
          <c:layout>
            <c:manualLayout>
              <c:xMode val="edge"/>
              <c:yMode val="edge"/>
              <c:x val="9.056603773584905E-2"/>
              <c:y val="0.37747983985176603"/>
            </c:manualLayout>
          </c:layout>
          <c:overlay val="0"/>
        </c:title>
        <c:numFmt formatCode="_(* #,##0_);_(* \(#,##0\);_(* &quot;-&quot;??_);_(@_)" sourceLinked="1"/>
        <c:majorTickMark val="none"/>
        <c:minorTickMark val="none"/>
        <c:tickLblPos val="nextTo"/>
        <c:crossAx val="15928259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Utvikling NFR- aktivitet</a:t>
            </a:r>
          </a:p>
        </c:rich>
      </c:tx>
      <c:layout>
        <c:manualLayout>
          <c:xMode val="edge"/>
          <c:yMode val="edge"/>
          <c:x val="0.31722645997375326"/>
          <c:y val="1.9583843329253364E-2"/>
        </c:manualLayout>
      </c:layout>
      <c:overlay val="0"/>
    </c:title>
    <c:autoTitleDeleted val="0"/>
    <c:plotArea>
      <c:layout>
        <c:manualLayout>
          <c:layoutTarget val="inner"/>
          <c:xMode val="edge"/>
          <c:yMode val="edge"/>
          <c:x val="0.32652577688796464"/>
          <c:y val="0.16152218958900161"/>
          <c:w val="0.67347422311203531"/>
          <c:h val="0.6254884806065909"/>
        </c:manualLayout>
      </c:layout>
      <c:lineChart>
        <c:grouping val="standard"/>
        <c:varyColors val="0"/>
        <c:ser>
          <c:idx val="0"/>
          <c:order val="0"/>
          <c:tx>
            <c:v>Utvikling i 2014-kr</c:v>
          </c:tx>
          <c:marker>
            <c:symbol val="none"/>
          </c:marker>
          <c:cat>
            <c:numRef>
              <c:f>'BOA 2002-2013'!$G$31:$G$35</c:f>
              <c:numCache>
                <c:formatCode>General</c:formatCode>
                <c:ptCount val="5"/>
                <c:pt idx="0">
                  <c:v>2010</c:v>
                </c:pt>
                <c:pt idx="1">
                  <c:v>2011</c:v>
                </c:pt>
                <c:pt idx="2">
                  <c:v>2012</c:v>
                </c:pt>
                <c:pt idx="3">
                  <c:v>2013</c:v>
                </c:pt>
                <c:pt idx="4">
                  <c:v>2014</c:v>
                </c:pt>
              </c:numCache>
            </c:numRef>
          </c:cat>
          <c:val>
            <c:numRef>
              <c:f>'BOA 2002-2013'!$I$31:$I$35</c:f>
              <c:numCache>
                <c:formatCode>_(* #,##0_);_(* \(#,##0\);_(* "-"??_);_(@_)</c:formatCode>
                <c:ptCount val="5"/>
                <c:pt idx="0">
                  <c:v>724074.89256019681</c:v>
                </c:pt>
                <c:pt idx="1">
                  <c:v>671065.99623268808</c:v>
                </c:pt>
                <c:pt idx="2">
                  <c:v>662580.32121329987</c:v>
                </c:pt>
                <c:pt idx="3" formatCode="_ * #,##0_ ;_ * \-#,##0_ ;_ * &quot;-&quot;??_ ;_ @_ ">
                  <c:v>631310.48330069997</c:v>
                </c:pt>
                <c:pt idx="4" formatCode="_ * #,##0_ ;_ * \-#,##0_ ;_ * &quot;-&quot;??_ ;_ @_ ">
                  <c:v>642651</c:v>
                </c:pt>
              </c:numCache>
            </c:numRef>
          </c:val>
          <c:smooth val="0"/>
        </c:ser>
        <c:ser>
          <c:idx val="1"/>
          <c:order val="1"/>
          <c:tx>
            <c:v>Nominell utvikling</c:v>
          </c:tx>
          <c:marker>
            <c:symbol val="none"/>
          </c:marker>
          <c:cat>
            <c:numRef>
              <c:f>'BOA 2002-2013'!$G$31:$G$35</c:f>
              <c:numCache>
                <c:formatCode>General</c:formatCode>
                <c:ptCount val="5"/>
                <c:pt idx="0">
                  <c:v>2010</c:v>
                </c:pt>
                <c:pt idx="1">
                  <c:v>2011</c:v>
                </c:pt>
                <c:pt idx="2">
                  <c:v>2012</c:v>
                </c:pt>
                <c:pt idx="3">
                  <c:v>2013</c:v>
                </c:pt>
                <c:pt idx="4">
                  <c:v>2014</c:v>
                </c:pt>
              </c:numCache>
            </c:numRef>
          </c:cat>
          <c:val>
            <c:numRef>
              <c:f>'BOA 2002-2013'!$H$31:$H$35</c:f>
              <c:numCache>
                <c:formatCode>_(* #,##0_);_(* \(#,##0\);_(* "-"??_);_(@_)</c:formatCode>
                <c:ptCount val="5"/>
                <c:pt idx="0">
                  <c:v>641256.90999999992</c:v>
                </c:pt>
                <c:pt idx="1">
                  <c:v>613329</c:v>
                </c:pt>
                <c:pt idx="2">
                  <c:v>623336.89999999991</c:v>
                </c:pt>
                <c:pt idx="3" formatCode="_ * #,##0_ ;_ * \-#,##0_ ;_ * &quot;-&quot;??_ ;_ @_ ">
                  <c:v>613518.44830000005</c:v>
                </c:pt>
                <c:pt idx="4" formatCode="General">
                  <c:v>642651</c:v>
                </c:pt>
              </c:numCache>
            </c:numRef>
          </c:val>
          <c:smooth val="0"/>
        </c:ser>
        <c:dLbls>
          <c:showLegendKey val="0"/>
          <c:showVal val="0"/>
          <c:showCatName val="0"/>
          <c:showSerName val="0"/>
          <c:showPercent val="0"/>
          <c:showBubbleSize val="0"/>
        </c:dLbls>
        <c:smooth val="0"/>
        <c:axId val="238000904"/>
        <c:axId val="238001296"/>
      </c:lineChart>
      <c:catAx>
        <c:axId val="238000904"/>
        <c:scaling>
          <c:orientation val="minMax"/>
        </c:scaling>
        <c:delete val="0"/>
        <c:axPos val="b"/>
        <c:numFmt formatCode="General" sourceLinked="1"/>
        <c:majorTickMark val="none"/>
        <c:minorTickMark val="none"/>
        <c:tickLblPos val="nextTo"/>
        <c:crossAx val="238001296"/>
        <c:crosses val="autoZero"/>
        <c:auto val="1"/>
        <c:lblAlgn val="ctr"/>
        <c:lblOffset val="100"/>
        <c:noMultiLvlLbl val="0"/>
      </c:catAx>
      <c:valAx>
        <c:axId val="238001296"/>
        <c:scaling>
          <c:orientation val="minMax"/>
          <c:min val="0"/>
        </c:scaling>
        <c:delete val="0"/>
        <c:axPos val="l"/>
        <c:majorGridlines/>
        <c:title>
          <c:tx>
            <c:rich>
              <a:bodyPr/>
              <a:lstStyle/>
              <a:p>
                <a:pPr>
                  <a:defRPr/>
                </a:pPr>
                <a:r>
                  <a:rPr lang="nb-NO"/>
                  <a:t>1000 kr</a:t>
                </a:r>
              </a:p>
            </c:rich>
          </c:tx>
          <c:layout>
            <c:manualLayout>
              <c:xMode val="edge"/>
              <c:yMode val="edge"/>
              <c:x val="0.1484375"/>
              <c:y val="0.34950452490868267"/>
            </c:manualLayout>
          </c:layout>
          <c:overlay val="0"/>
        </c:title>
        <c:numFmt formatCode="_(* #,##0_);_(* \(#,##0\);_(* &quot;-&quot;??_);_(@_)" sourceLinked="1"/>
        <c:majorTickMark val="none"/>
        <c:minorTickMark val="none"/>
        <c:tickLblPos val="nextTo"/>
        <c:crossAx val="23800090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Utvikling EU- aktivitet</a:t>
            </a:r>
          </a:p>
        </c:rich>
      </c:tx>
      <c:layout>
        <c:manualLayout>
          <c:xMode val="edge"/>
          <c:yMode val="edge"/>
          <c:x val="0.33029664980245377"/>
          <c:y val="2.2916071961518323E-2"/>
        </c:manualLayout>
      </c:layout>
      <c:overlay val="0"/>
    </c:title>
    <c:autoTitleDeleted val="0"/>
    <c:plotArea>
      <c:layout>
        <c:manualLayout>
          <c:layoutTarget val="inner"/>
          <c:xMode val="edge"/>
          <c:yMode val="edge"/>
          <c:x val="0.31348731408573927"/>
          <c:y val="0.15629915903429148"/>
          <c:w val="0.68651268591426073"/>
          <c:h val="0.63040634345742541"/>
        </c:manualLayout>
      </c:layout>
      <c:lineChart>
        <c:grouping val="standard"/>
        <c:varyColors val="0"/>
        <c:ser>
          <c:idx val="0"/>
          <c:order val="0"/>
          <c:tx>
            <c:v>Utvikling i 2014-kr</c:v>
          </c:tx>
          <c:marker>
            <c:symbol val="none"/>
          </c:marker>
          <c:cat>
            <c:numRef>
              <c:f>'BOA 2002-2013'!$G$13:$G$17</c:f>
              <c:numCache>
                <c:formatCode>General</c:formatCode>
                <c:ptCount val="5"/>
                <c:pt idx="0">
                  <c:v>2010</c:v>
                </c:pt>
                <c:pt idx="1">
                  <c:v>2011</c:v>
                </c:pt>
                <c:pt idx="2">
                  <c:v>2012</c:v>
                </c:pt>
                <c:pt idx="3">
                  <c:v>2013</c:v>
                </c:pt>
                <c:pt idx="4">
                  <c:v>2014</c:v>
                </c:pt>
              </c:numCache>
            </c:numRef>
          </c:cat>
          <c:val>
            <c:numRef>
              <c:f>'BOA 2002-2013'!$I$13:$I$17</c:f>
              <c:numCache>
                <c:formatCode>_(* #,##0_);_(* \(#,##0\);_(* "-"??_);_(@_)</c:formatCode>
                <c:ptCount val="5"/>
                <c:pt idx="0">
                  <c:v>60902.26813436245</c:v>
                </c:pt>
                <c:pt idx="1">
                  <c:v>60055.73962114496</c:v>
                </c:pt>
                <c:pt idx="2">
                  <c:v>63225.373282049986</c:v>
                </c:pt>
                <c:pt idx="3" formatCode="_ * #,##0_ ;_ * \-#,##0_ ;_ * &quot;-&quot;??_ ;_ @_ ">
                  <c:v>66969.697020870008</c:v>
                </c:pt>
                <c:pt idx="4" formatCode="_ * #,##0_ ;_ * \-#,##0_ ;_ * &quot;-&quot;??_ ;_ @_ ">
                  <c:v>98461</c:v>
                </c:pt>
              </c:numCache>
            </c:numRef>
          </c:val>
          <c:smooth val="0"/>
        </c:ser>
        <c:ser>
          <c:idx val="1"/>
          <c:order val="1"/>
          <c:tx>
            <c:v>Nominell utvikling</c:v>
          </c:tx>
          <c:marker>
            <c:symbol val="none"/>
          </c:marker>
          <c:cat>
            <c:numRef>
              <c:f>'BOA 2002-2013'!$G$13:$G$17</c:f>
              <c:numCache>
                <c:formatCode>General</c:formatCode>
                <c:ptCount val="5"/>
                <c:pt idx="0">
                  <c:v>2010</c:v>
                </c:pt>
                <c:pt idx="1">
                  <c:v>2011</c:v>
                </c:pt>
                <c:pt idx="2">
                  <c:v>2012</c:v>
                </c:pt>
                <c:pt idx="3">
                  <c:v>2013</c:v>
                </c:pt>
                <c:pt idx="4">
                  <c:v>2014</c:v>
                </c:pt>
              </c:numCache>
            </c:numRef>
          </c:cat>
          <c:val>
            <c:numRef>
              <c:f>'BOA 2002-2013'!$H$13:$H$17</c:f>
              <c:numCache>
                <c:formatCode>_(* #,##0_);_(* \(#,##0\);_(* "-"??_);_(@_)</c:formatCode>
                <c:ptCount val="5"/>
                <c:pt idx="0">
                  <c:v>53936.409999999996</c:v>
                </c:pt>
                <c:pt idx="1">
                  <c:v>54888.679999999993</c:v>
                </c:pt>
                <c:pt idx="2">
                  <c:v>59480.649999999994</c:v>
                </c:pt>
                <c:pt idx="3" formatCode="_ * #,##0_ ;_ * \-#,##0_ ;_ * &quot;-&quot;??_ ;_ @_ ">
                  <c:v>65082.310030000008</c:v>
                </c:pt>
                <c:pt idx="4" formatCode="General">
                  <c:v>98461</c:v>
                </c:pt>
              </c:numCache>
            </c:numRef>
          </c:val>
          <c:smooth val="0"/>
        </c:ser>
        <c:dLbls>
          <c:showLegendKey val="0"/>
          <c:showVal val="0"/>
          <c:showCatName val="0"/>
          <c:showSerName val="0"/>
          <c:showPercent val="0"/>
          <c:showBubbleSize val="0"/>
        </c:dLbls>
        <c:smooth val="0"/>
        <c:axId val="238002864"/>
        <c:axId val="238003256"/>
      </c:lineChart>
      <c:catAx>
        <c:axId val="238002864"/>
        <c:scaling>
          <c:orientation val="minMax"/>
        </c:scaling>
        <c:delete val="0"/>
        <c:axPos val="b"/>
        <c:numFmt formatCode="General" sourceLinked="1"/>
        <c:majorTickMark val="none"/>
        <c:minorTickMark val="none"/>
        <c:tickLblPos val="nextTo"/>
        <c:crossAx val="238003256"/>
        <c:crosses val="autoZero"/>
        <c:auto val="1"/>
        <c:lblAlgn val="ctr"/>
        <c:lblOffset val="100"/>
        <c:noMultiLvlLbl val="0"/>
      </c:catAx>
      <c:valAx>
        <c:axId val="238003256"/>
        <c:scaling>
          <c:orientation val="minMax"/>
        </c:scaling>
        <c:delete val="0"/>
        <c:axPos val="l"/>
        <c:majorGridlines/>
        <c:title>
          <c:tx>
            <c:rich>
              <a:bodyPr/>
              <a:lstStyle/>
              <a:p>
                <a:pPr>
                  <a:defRPr/>
                </a:pPr>
                <a:r>
                  <a:rPr lang="nb-NO"/>
                  <a:t>1000 kr</a:t>
                </a:r>
              </a:p>
            </c:rich>
          </c:tx>
          <c:layout>
            <c:manualLayout>
              <c:xMode val="edge"/>
              <c:yMode val="edge"/>
              <c:x val="0.1249667641584685"/>
              <c:y val="0.35136730950571554"/>
            </c:manualLayout>
          </c:layout>
          <c:overlay val="0"/>
        </c:title>
        <c:numFmt formatCode="_(* #,##0_);_(* \(#,##0\);_(* &quot;-&quot;??_);_(@_)" sourceLinked="1"/>
        <c:majorTickMark val="none"/>
        <c:minorTickMark val="none"/>
        <c:tickLblPos val="nextTo"/>
        <c:crossAx val="23800286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Utvikling annen bidragsfinansiert aktivitet</a:t>
            </a:r>
          </a:p>
        </c:rich>
      </c:tx>
      <c:layout>
        <c:manualLayout>
          <c:xMode val="edge"/>
          <c:yMode val="edge"/>
          <c:x val="0.31925210961533035"/>
          <c:y val="2.3999929301766573E-2"/>
        </c:manualLayout>
      </c:layout>
      <c:overlay val="0"/>
    </c:title>
    <c:autoTitleDeleted val="0"/>
    <c:plotArea>
      <c:layout>
        <c:manualLayout>
          <c:layoutTarget val="inner"/>
          <c:xMode val="edge"/>
          <c:yMode val="edge"/>
          <c:x val="0.2795181549973243"/>
          <c:y val="0.14435878562481438"/>
          <c:w val="0.72048184500267576"/>
          <c:h val="0.63748838976012268"/>
        </c:manualLayout>
      </c:layout>
      <c:lineChart>
        <c:grouping val="standard"/>
        <c:varyColors val="0"/>
        <c:ser>
          <c:idx val="0"/>
          <c:order val="0"/>
          <c:tx>
            <c:v>Utvikling i 2014-kr</c:v>
          </c:tx>
          <c:marker>
            <c:symbol val="none"/>
          </c:marker>
          <c:cat>
            <c:numRef>
              <c:f>'BOA 2002-2013'!$K$3:$K$7</c:f>
              <c:numCache>
                <c:formatCode>_ * #,##0_ ;_ * \-#,##0_ ;_ * "-"??_ ;_ @_ </c:formatCode>
                <c:ptCount val="5"/>
                <c:pt idx="0">
                  <c:v>2010</c:v>
                </c:pt>
                <c:pt idx="1">
                  <c:v>2011</c:v>
                </c:pt>
                <c:pt idx="2">
                  <c:v>2012</c:v>
                </c:pt>
                <c:pt idx="3">
                  <c:v>2013</c:v>
                </c:pt>
                <c:pt idx="4">
                  <c:v>2014</c:v>
                </c:pt>
              </c:numCache>
            </c:numRef>
          </c:cat>
          <c:val>
            <c:numRef>
              <c:f>'BOA 2002-2013'!$M$3:$M$7</c:f>
              <c:numCache>
                <c:formatCode>_ * #,##0_ ;_ * \-#,##0_ ;_ * "-"??_ ;_ @_ </c:formatCode>
                <c:ptCount val="5"/>
                <c:pt idx="0">
                  <c:v>510057.35337238002</c:v>
                </c:pt>
                <c:pt idx="1">
                  <c:v>625872.15507633146</c:v>
                </c:pt>
                <c:pt idx="2">
                  <c:v>650171.22426517925</c:v>
                </c:pt>
                <c:pt idx="3">
                  <c:v>705694.42377272993</c:v>
                </c:pt>
                <c:pt idx="4">
                  <c:v>672031.25422999996</c:v>
                </c:pt>
              </c:numCache>
            </c:numRef>
          </c:val>
          <c:smooth val="0"/>
        </c:ser>
        <c:ser>
          <c:idx val="1"/>
          <c:order val="1"/>
          <c:tx>
            <c:v>Nominell utvikling</c:v>
          </c:tx>
          <c:marker>
            <c:symbol val="none"/>
          </c:marker>
          <c:cat>
            <c:numRef>
              <c:f>'BOA 2002-2013'!$K$3:$K$7</c:f>
              <c:numCache>
                <c:formatCode>_ * #,##0_ ;_ * \-#,##0_ ;_ * "-"??_ ;_ @_ </c:formatCode>
                <c:ptCount val="5"/>
                <c:pt idx="0">
                  <c:v>2010</c:v>
                </c:pt>
                <c:pt idx="1">
                  <c:v>2011</c:v>
                </c:pt>
                <c:pt idx="2">
                  <c:v>2012</c:v>
                </c:pt>
                <c:pt idx="3">
                  <c:v>2013</c:v>
                </c:pt>
                <c:pt idx="4">
                  <c:v>2014</c:v>
                </c:pt>
              </c:numCache>
            </c:numRef>
          </c:cat>
          <c:val>
            <c:numRef>
              <c:f>'BOA 2002-2013'!$L$3:$L$7</c:f>
              <c:numCache>
                <c:formatCode>_ * #,##0_ ;_ * \-#,##0_ ;_ * "-"??_ ;_ @_ </c:formatCode>
                <c:ptCount val="5"/>
                <c:pt idx="0">
                  <c:v>451718.19338999997</c:v>
                </c:pt>
                <c:pt idx="1">
                  <c:v>572023.53443</c:v>
                </c:pt>
                <c:pt idx="2">
                  <c:v>611662.77118000004</c:v>
                </c:pt>
                <c:pt idx="3">
                  <c:v>685806.04836999997</c:v>
                </c:pt>
                <c:pt idx="4">
                  <c:v>672031.25422999996</c:v>
                </c:pt>
              </c:numCache>
            </c:numRef>
          </c:val>
          <c:smooth val="0"/>
        </c:ser>
        <c:dLbls>
          <c:showLegendKey val="0"/>
          <c:showVal val="0"/>
          <c:showCatName val="0"/>
          <c:showSerName val="0"/>
          <c:showPercent val="0"/>
          <c:showBubbleSize val="0"/>
        </c:dLbls>
        <c:smooth val="0"/>
        <c:axId val="238763024"/>
        <c:axId val="238763416"/>
      </c:lineChart>
      <c:catAx>
        <c:axId val="238763024"/>
        <c:scaling>
          <c:orientation val="minMax"/>
        </c:scaling>
        <c:delete val="0"/>
        <c:axPos val="b"/>
        <c:numFmt formatCode="_ * #,##0_ ;_ * \-#,##0_ ;_ * &quot;-&quot;??_ ;_ @_ " sourceLinked="1"/>
        <c:majorTickMark val="none"/>
        <c:minorTickMark val="none"/>
        <c:tickLblPos val="nextTo"/>
        <c:crossAx val="238763416"/>
        <c:crosses val="autoZero"/>
        <c:auto val="1"/>
        <c:lblAlgn val="ctr"/>
        <c:lblOffset val="100"/>
        <c:noMultiLvlLbl val="0"/>
      </c:catAx>
      <c:valAx>
        <c:axId val="238763416"/>
        <c:scaling>
          <c:orientation val="minMax"/>
          <c:max val="1000000"/>
          <c:min val="0"/>
        </c:scaling>
        <c:delete val="0"/>
        <c:axPos val="l"/>
        <c:majorGridlines/>
        <c:title>
          <c:tx>
            <c:rich>
              <a:bodyPr/>
              <a:lstStyle/>
              <a:p>
                <a:pPr>
                  <a:defRPr/>
                </a:pPr>
                <a:r>
                  <a:rPr lang="nb-NO"/>
                  <a:t>1000</a:t>
                </a:r>
                <a:r>
                  <a:rPr lang="nb-NO" baseline="0"/>
                  <a:t> kr</a:t>
                </a:r>
                <a:endParaRPr lang="nb-NO"/>
              </a:p>
            </c:rich>
          </c:tx>
          <c:layout/>
          <c:overlay val="0"/>
        </c:title>
        <c:numFmt formatCode="_ * #,##0_ ;_ * \-#,##0_ ;_ * &quot;-&quot;??_ ;_ @_ " sourceLinked="1"/>
        <c:majorTickMark val="none"/>
        <c:minorTickMark val="none"/>
        <c:tickLblPos val="nextTo"/>
        <c:crossAx val="238763024"/>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400"/>
              <a:t>Utvikling oppdragsaktivitet</a:t>
            </a:r>
          </a:p>
        </c:rich>
      </c:tx>
      <c:layout>
        <c:manualLayout>
          <c:xMode val="edge"/>
          <c:yMode val="edge"/>
          <c:x val="0.37736559957032401"/>
          <c:y val="2.3999941525062907E-2"/>
        </c:manualLayout>
      </c:layout>
      <c:overlay val="0"/>
    </c:title>
    <c:autoTitleDeleted val="0"/>
    <c:plotArea>
      <c:layout>
        <c:manualLayout>
          <c:layoutTarget val="inner"/>
          <c:xMode val="edge"/>
          <c:yMode val="edge"/>
          <c:x val="0.2795181549973243"/>
          <c:y val="0.14435878562481438"/>
          <c:w val="0.72048184500267576"/>
          <c:h val="0.63748838976012268"/>
        </c:manualLayout>
      </c:layout>
      <c:lineChart>
        <c:grouping val="standard"/>
        <c:varyColors val="0"/>
        <c:ser>
          <c:idx val="0"/>
          <c:order val="0"/>
          <c:tx>
            <c:v>Utvikling i 2014-kr</c:v>
          </c:tx>
          <c:marker>
            <c:symbol val="none"/>
          </c:marker>
          <c:cat>
            <c:numRef>
              <c:f>'BOA 2002-2013'!$K$18:$K$22</c:f>
              <c:numCache>
                <c:formatCode>_(* #,##0_);_(* \(#,##0\);_(* "-"??_);_(@_)</c:formatCode>
                <c:ptCount val="5"/>
                <c:pt idx="0">
                  <c:v>2010</c:v>
                </c:pt>
                <c:pt idx="1">
                  <c:v>2011</c:v>
                </c:pt>
                <c:pt idx="2">
                  <c:v>2012</c:v>
                </c:pt>
                <c:pt idx="3">
                  <c:v>2013</c:v>
                </c:pt>
                <c:pt idx="4">
                  <c:v>2014</c:v>
                </c:pt>
              </c:numCache>
            </c:numRef>
          </c:cat>
          <c:val>
            <c:numRef>
              <c:f>'BOA 2002-2013'!$M$18:$M$22</c:f>
              <c:numCache>
                <c:formatCode>_ * #,##0_ ;_ * \-#,##0_ ;_ * "-"??_ ;_ @_ </c:formatCode>
                <c:ptCount val="5"/>
                <c:pt idx="0">
                  <c:v>121376.26813753694</c:v>
                </c:pt>
                <c:pt idx="1">
                  <c:v>145968.82965310052</c:v>
                </c:pt>
                <c:pt idx="2">
                  <c:v>127316.30221292409</c:v>
                </c:pt>
                <c:pt idx="3">
                  <c:v>122520.71126169</c:v>
                </c:pt>
                <c:pt idx="4">
                  <c:v>107017.82566</c:v>
                </c:pt>
              </c:numCache>
            </c:numRef>
          </c:val>
          <c:smooth val="0"/>
        </c:ser>
        <c:ser>
          <c:idx val="1"/>
          <c:order val="1"/>
          <c:tx>
            <c:v>Nominell utvikling</c:v>
          </c:tx>
          <c:marker>
            <c:symbol val="none"/>
          </c:marker>
          <c:cat>
            <c:numRef>
              <c:f>'BOA 2002-2013'!$K$18:$K$22</c:f>
              <c:numCache>
                <c:formatCode>_(* #,##0_);_(* \(#,##0\);_(* "-"??_);_(@_)</c:formatCode>
                <c:ptCount val="5"/>
                <c:pt idx="0">
                  <c:v>2010</c:v>
                </c:pt>
                <c:pt idx="1">
                  <c:v>2011</c:v>
                </c:pt>
                <c:pt idx="2">
                  <c:v>2012</c:v>
                </c:pt>
                <c:pt idx="3">
                  <c:v>2013</c:v>
                </c:pt>
                <c:pt idx="4">
                  <c:v>2014</c:v>
                </c:pt>
              </c:numCache>
            </c:numRef>
          </c:cat>
          <c:val>
            <c:numRef>
              <c:f>'BOA 2002-2013'!$L$18:$L$22</c:f>
              <c:numCache>
                <c:formatCode>_ * #,##0_ ;_ * \-#,##0_ ;_ * "-"??_ ;_ @_ </c:formatCode>
                <c:ptCount val="5"/>
                <c:pt idx="0">
                  <c:v>107493.53617000001</c:v>
                </c:pt>
                <c:pt idx="1">
                  <c:v>133410.00263</c:v>
                </c:pt>
                <c:pt idx="2">
                  <c:v>119775.59037000001</c:v>
                </c:pt>
                <c:pt idx="3">
                  <c:v>119067.74661</c:v>
                </c:pt>
                <c:pt idx="4">
                  <c:v>107017.82566</c:v>
                </c:pt>
              </c:numCache>
            </c:numRef>
          </c:val>
          <c:smooth val="0"/>
        </c:ser>
        <c:dLbls>
          <c:showLegendKey val="0"/>
          <c:showVal val="0"/>
          <c:showCatName val="0"/>
          <c:showSerName val="0"/>
          <c:showPercent val="0"/>
          <c:showBubbleSize val="0"/>
        </c:dLbls>
        <c:smooth val="0"/>
        <c:axId val="238764592"/>
        <c:axId val="238764984"/>
      </c:lineChart>
      <c:catAx>
        <c:axId val="238764592"/>
        <c:scaling>
          <c:orientation val="minMax"/>
        </c:scaling>
        <c:delete val="0"/>
        <c:axPos val="b"/>
        <c:numFmt formatCode="_(* #,##0_);_(* \(#,##0\);_(* &quot;-&quot;??_);_(@_)" sourceLinked="1"/>
        <c:majorTickMark val="none"/>
        <c:minorTickMark val="none"/>
        <c:tickLblPos val="nextTo"/>
        <c:crossAx val="238764984"/>
        <c:crosses val="autoZero"/>
        <c:auto val="1"/>
        <c:lblAlgn val="ctr"/>
        <c:lblOffset val="100"/>
        <c:noMultiLvlLbl val="0"/>
      </c:catAx>
      <c:valAx>
        <c:axId val="238764984"/>
        <c:scaling>
          <c:orientation val="minMax"/>
          <c:max val="300000"/>
          <c:min val="0"/>
        </c:scaling>
        <c:delete val="0"/>
        <c:axPos val="l"/>
        <c:majorGridlines/>
        <c:title>
          <c:tx>
            <c:rich>
              <a:bodyPr/>
              <a:lstStyle/>
              <a:p>
                <a:pPr>
                  <a:defRPr/>
                </a:pPr>
                <a:r>
                  <a:rPr lang="nb-NO"/>
                  <a:t>1000</a:t>
                </a:r>
                <a:r>
                  <a:rPr lang="nb-NO" baseline="0"/>
                  <a:t> kr</a:t>
                </a:r>
                <a:endParaRPr lang="nb-NO"/>
              </a:p>
            </c:rich>
          </c:tx>
          <c:layout>
            <c:manualLayout>
              <c:xMode val="edge"/>
              <c:yMode val="edge"/>
              <c:x val="0.11583011583011583"/>
              <c:y val="0.35427259919268045"/>
            </c:manualLayout>
          </c:layout>
          <c:overlay val="0"/>
        </c:title>
        <c:numFmt formatCode="_ * #,##0_ ;_ * \-#,##0_ ;_ * &quot;-&quot;??_ ;_ @_ " sourceLinked="1"/>
        <c:majorTickMark val="none"/>
        <c:minorTickMark val="none"/>
        <c:tickLblPos val="nextTo"/>
        <c:crossAx val="238764592"/>
        <c:crosses val="autoZero"/>
        <c:crossBetween val="between"/>
      </c:valAx>
      <c:dTable>
        <c:showHorzBorder val="1"/>
        <c:showVertBorder val="1"/>
        <c:showOutline val="1"/>
        <c:showKeys val="1"/>
      </c:dTable>
    </c:plotArea>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E31ABD-CE38-4E62-A5B8-BAAAA446A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KOLL_NOT.dot</Template>
  <TotalTime>0</TotalTime>
  <Pages>13</Pages>
  <Words>3687</Words>
  <Characters>21329</Characters>
  <Application>Microsoft Office Word</Application>
  <DocSecurity>0</DocSecurity>
  <Lines>177</Lines>
  <Paragraphs>49</Paragraphs>
  <ScaleCrop>false</ScaleCrop>
  <HeadingPairs>
    <vt:vector size="2" baseType="variant">
      <vt:variant>
        <vt:lpstr>Tittel</vt:lpstr>
      </vt:variant>
      <vt:variant>
        <vt:i4>1</vt:i4>
      </vt:variant>
    </vt:vector>
  </HeadingPairs>
  <TitlesOfParts>
    <vt:vector size="1" baseType="lpstr">
      <vt:lpstr/>
    </vt:vector>
  </TitlesOfParts>
  <Company>NTNU</Company>
  <LinksUpToDate>false</LinksUpToDate>
  <CharactersWithSpaces>24967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Kolegie notat</dc:subject>
  <dc:creator>Per-Arne Norevik</dc:creator>
  <cp:lastModifiedBy>Beate Knarbakk Reinertsen</cp:lastModifiedBy>
  <cp:revision>6</cp:revision>
  <cp:lastPrinted>2015-03-04T12:07:00Z</cp:lastPrinted>
  <dcterms:created xsi:type="dcterms:W3CDTF">2015-03-03T15:08:00Z</dcterms:created>
  <dcterms:modified xsi:type="dcterms:W3CDTF">2015-03-04T12:07:00Z</dcterms:modified>
</cp:coreProperties>
</file>