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19" w:rsidRPr="007E4CEA" w:rsidRDefault="00983719" w:rsidP="00983719">
      <w:pPr>
        <w:pStyle w:val="Hode"/>
        <w:tabs>
          <w:tab w:val="right" w:pos="9809"/>
        </w:tabs>
        <w:spacing w:line="240" w:lineRule="exact"/>
        <w:rPr>
          <w:b/>
        </w:rPr>
      </w:pPr>
      <w:r w:rsidRPr="007E4CEA">
        <w:rPr>
          <w:b/>
        </w:rPr>
        <w:t>NTNU</w:t>
      </w:r>
      <w:r w:rsidRPr="007E4CEA">
        <w:rPr>
          <w:b/>
        </w:rPr>
        <w:tab/>
        <w:t xml:space="preserve">S-sak </w:t>
      </w:r>
      <w:bookmarkStart w:id="0" w:name="Ksak"/>
      <w:bookmarkEnd w:id="0"/>
      <w:r w:rsidR="00233A01">
        <w:rPr>
          <w:b/>
        </w:rPr>
        <w:t>66</w:t>
      </w:r>
      <w:r w:rsidR="00355006" w:rsidRPr="007E4CEA">
        <w:rPr>
          <w:b/>
        </w:rPr>
        <w:t>/13</w:t>
      </w:r>
    </w:p>
    <w:p w:rsidR="00983719" w:rsidRPr="007E4CEA" w:rsidRDefault="00983719" w:rsidP="00983719">
      <w:pPr>
        <w:pStyle w:val="Hode"/>
        <w:tabs>
          <w:tab w:val="right" w:pos="9809"/>
        </w:tabs>
        <w:spacing w:line="240" w:lineRule="exact"/>
        <w:rPr>
          <w:b/>
        </w:rPr>
      </w:pPr>
      <w:r w:rsidRPr="007E4CEA">
        <w:rPr>
          <w:b/>
        </w:rPr>
        <w:t>Norges teknisk-naturvitenskapelige</w:t>
      </w:r>
    </w:p>
    <w:p w:rsidR="00983719" w:rsidRDefault="00EE6951" w:rsidP="00983719">
      <w:pPr>
        <w:pStyle w:val="Hode"/>
        <w:tabs>
          <w:tab w:val="right" w:pos="9809"/>
        </w:tabs>
        <w:spacing w:line="240" w:lineRule="exact"/>
        <w:rPr>
          <w:b/>
        </w:rPr>
      </w:pPr>
      <w:r w:rsidRPr="007E4CEA">
        <w:rPr>
          <w:b/>
        </w:rPr>
        <w:t>U</w:t>
      </w:r>
      <w:r w:rsidR="00983719" w:rsidRPr="007E4CEA">
        <w:rPr>
          <w:b/>
        </w:rPr>
        <w:t>niversitet</w:t>
      </w:r>
    </w:p>
    <w:p w:rsidR="00EE6951" w:rsidRPr="007E4CEA" w:rsidRDefault="00EE6951" w:rsidP="00983719">
      <w:pPr>
        <w:pStyle w:val="Hode"/>
        <w:tabs>
          <w:tab w:val="right" w:pos="9809"/>
        </w:tabs>
        <w:spacing w:line="240" w:lineRule="exact"/>
        <w:rPr>
          <w:b/>
        </w:rPr>
      </w:pPr>
    </w:p>
    <w:p w:rsidR="00EE6951" w:rsidRDefault="00F133ED" w:rsidP="00983719">
      <w:pPr>
        <w:tabs>
          <w:tab w:val="right" w:pos="9809"/>
        </w:tabs>
        <w:rPr>
          <w:lang w:val="nn-NO"/>
        </w:rPr>
      </w:pPr>
      <w:bookmarkStart w:id="1" w:name="Dato"/>
      <w:bookmarkStart w:id="2" w:name="Init"/>
      <w:bookmarkEnd w:id="1"/>
      <w:bookmarkEnd w:id="2"/>
      <w:r>
        <w:rPr>
          <w:lang w:val="nn-NO"/>
        </w:rPr>
        <w:t>26.11</w:t>
      </w:r>
      <w:r w:rsidR="00CC295D">
        <w:rPr>
          <w:lang w:val="nn-NO"/>
        </w:rPr>
        <w:t>.13</w:t>
      </w:r>
    </w:p>
    <w:p w:rsidR="00983719" w:rsidRDefault="00EE6951" w:rsidP="00983719">
      <w:pPr>
        <w:tabs>
          <w:tab w:val="right" w:pos="9809"/>
        </w:tabs>
        <w:rPr>
          <w:lang w:val="nn-NO"/>
        </w:rPr>
      </w:pPr>
      <w:r>
        <w:rPr>
          <w:lang w:val="nn-NO"/>
        </w:rPr>
        <w:t xml:space="preserve">Saksansvarlig: </w:t>
      </w:r>
      <w:r w:rsidR="00933C84">
        <w:rPr>
          <w:lang w:val="nn-NO"/>
        </w:rPr>
        <w:t xml:space="preserve"> </w:t>
      </w:r>
      <w:r>
        <w:rPr>
          <w:lang w:val="nn-NO"/>
        </w:rPr>
        <w:t>Berit J. Kjelstad</w:t>
      </w:r>
    </w:p>
    <w:p w:rsidR="00EE6951" w:rsidRPr="007E4CEA" w:rsidRDefault="00EE6951" w:rsidP="00983719">
      <w:pPr>
        <w:tabs>
          <w:tab w:val="right" w:pos="9809"/>
        </w:tabs>
        <w:rPr>
          <w:lang w:val="nn-NO"/>
        </w:rPr>
      </w:pPr>
      <w:r>
        <w:rPr>
          <w:lang w:val="nn-NO"/>
        </w:rPr>
        <w:t>Saksbehandler: Ken Stebergløkken</w:t>
      </w:r>
    </w:p>
    <w:p w:rsidR="00983719" w:rsidRPr="00DC3F80" w:rsidRDefault="00983719" w:rsidP="00983719">
      <w:pPr>
        <w:pStyle w:val="Hode"/>
        <w:tabs>
          <w:tab w:val="right" w:pos="9809"/>
        </w:tabs>
        <w:rPr>
          <w:i/>
          <w:lang w:val="nn-NO"/>
        </w:rPr>
      </w:pPr>
      <w:r w:rsidRPr="007E4CEA">
        <w:rPr>
          <w:lang w:val="nn-NO"/>
        </w:rPr>
        <w:t xml:space="preserve">Arkiv: </w:t>
      </w:r>
      <w:bookmarkStart w:id="3" w:name="Kode"/>
      <w:bookmarkEnd w:id="3"/>
      <w:r w:rsidR="00355006" w:rsidRPr="007E4CEA">
        <w:rPr>
          <w:lang w:val="nn-NO"/>
        </w:rPr>
        <w:t>2013/11627</w:t>
      </w:r>
      <w:r w:rsidRPr="00DC3F80">
        <w:rPr>
          <w:i/>
          <w:lang w:val="nn-NO"/>
        </w:rPr>
        <w:t xml:space="preserve"> </w:t>
      </w:r>
      <w:bookmarkStart w:id="4" w:name="para"/>
      <w:bookmarkEnd w:id="4"/>
    </w:p>
    <w:p w:rsidR="00983719" w:rsidRPr="00DC3F80" w:rsidRDefault="00983719" w:rsidP="00983719">
      <w:pPr>
        <w:pStyle w:val="Hode"/>
        <w:tabs>
          <w:tab w:val="right" w:pos="9809"/>
        </w:tabs>
        <w:spacing w:line="240" w:lineRule="exact"/>
        <w:rPr>
          <w:b/>
          <w:i/>
          <w:lang w:val="nn-NO"/>
        </w:rPr>
      </w:pPr>
    </w:p>
    <w:p w:rsidR="00983719" w:rsidRPr="00DC3F80" w:rsidRDefault="00983719" w:rsidP="00983719">
      <w:pPr>
        <w:pStyle w:val="Hode"/>
        <w:tabs>
          <w:tab w:val="right" w:pos="9809"/>
        </w:tabs>
        <w:spacing w:line="240" w:lineRule="exact"/>
        <w:rPr>
          <w:i/>
          <w:lang w:val="nn-NO"/>
        </w:rPr>
      </w:pPr>
    </w:p>
    <w:p w:rsidR="00983719" w:rsidRPr="00EE6951" w:rsidRDefault="00983719" w:rsidP="00983719">
      <w:pPr>
        <w:tabs>
          <w:tab w:val="right" w:pos="9809"/>
        </w:tabs>
        <w:jc w:val="center"/>
        <w:rPr>
          <w:b/>
          <w:sz w:val="26"/>
          <w:lang w:val="nn-NO"/>
        </w:rPr>
      </w:pPr>
      <w:r w:rsidRPr="00EE6951">
        <w:rPr>
          <w:b/>
          <w:sz w:val="26"/>
          <w:lang w:val="nn-NO"/>
        </w:rPr>
        <w:t>N O T A T</w:t>
      </w:r>
    </w:p>
    <w:p w:rsidR="00983719" w:rsidRPr="00EE6951" w:rsidRDefault="00983719" w:rsidP="00983719">
      <w:pPr>
        <w:tabs>
          <w:tab w:val="right" w:pos="9809"/>
        </w:tabs>
        <w:rPr>
          <w:b/>
          <w:lang w:val="nn-NO"/>
        </w:rPr>
      </w:pPr>
    </w:p>
    <w:p w:rsidR="00983719" w:rsidRPr="00EE6951" w:rsidRDefault="00983719" w:rsidP="00983719">
      <w:pPr>
        <w:tabs>
          <w:tab w:val="left" w:pos="567"/>
          <w:tab w:val="right" w:pos="9809"/>
        </w:tabs>
        <w:rPr>
          <w:lang w:val="nn-NO"/>
        </w:rPr>
      </w:pPr>
      <w:r w:rsidRPr="00EE6951">
        <w:rPr>
          <w:lang w:val="nn-NO"/>
        </w:rPr>
        <w:t>Til:</w:t>
      </w:r>
      <w:r w:rsidRPr="00EE6951">
        <w:rPr>
          <w:lang w:val="nn-NO"/>
        </w:rPr>
        <w:tab/>
        <w:t>Styret</w:t>
      </w:r>
    </w:p>
    <w:p w:rsidR="00983719" w:rsidRPr="00233A01" w:rsidRDefault="00983719" w:rsidP="00983719">
      <w:pPr>
        <w:tabs>
          <w:tab w:val="left" w:pos="567"/>
          <w:tab w:val="right" w:pos="9809"/>
        </w:tabs>
      </w:pPr>
      <w:r w:rsidRPr="00233A01">
        <w:t>Fra:</w:t>
      </w:r>
      <w:r w:rsidRPr="00233A01">
        <w:tab/>
        <w:t>Rektor</w:t>
      </w:r>
    </w:p>
    <w:p w:rsidR="00983719" w:rsidRPr="00233A01" w:rsidRDefault="00983719" w:rsidP="00983719">
      <w:pPr>
        <w:tabs>
          <w:tab w:val="left" w:pos="567"/>
          <w:tab w:val="right" w:pos="9809"/>
        </w:tabs>
        <w:ind w:left="567" w:hanging="567"/>
        <w:rPr>
          <w:b/>
        </w:rPr>
      </w:pPr>
      <w:r w:rsidRPr="00233A01">
        <w:rPr>
          <w:b/>
        </w:rPr>
        <w:t>Om:</w:t>
      </w:r>
      <w:r w:rsidRPr="00233A01">
        <w:rPr>
          <w:b/>
        </w:rPr>
        <w:tab/>
      </w:r>
      <w:bookmarkStart w:id="5" w:name="Om"/>
      <w:bookmarkEnd w:id="5"/>
      <w:r w:rsidRPr="00233A01">
        <w:rPr>
          <w:b/>
        </w:rPr>
        <w:t>Opptaksrammer for studieåret 201</w:t>
      </w:r>
      <w:r w:rsidR="008D3E83" w:rsidRPr="00233A01">
        <w:rPr>
          <w:b/>
        </w:rPr>
        <w:t>4/15</w:t>
      </w:r>
    </w:p>
    <w:p w:rsidR="00983719" w:rsidRPr="00233A01" w:rsidRDefault="00983719" w:rsidP="00983719">
      <w:pPr>
        <w:tabs>
          <w:tab w:val="left" w:pos="567"/>
          <w:tab w:val="right" w:pos="9809"/>
        </w:tabs>
      </w:pPr>
    </w:p>
    <w:p w:rsidR="00983719" w:rsidRPr="00233A01" w:rsidRDefault="00983719" w:rsidP="00983719">
      <w:pPr>
        <w:pBdr>
          <w:top w:val="single" w:sz="6" w:space="1" w:color="auto"/>
        </w:pBdr>
      </w:pPr>
    </w:p>
    <w:p w:rsidR="00983719" w:rsidRPr="00EE6951" w:rsidRDefault="00983719" w:rsidP="001C651C">
      <w:pPr>
        <w:jc w:val="both"/>
        <w:rPr>
          <w:b/>
          <w:u w:val="single"/>
          <w:lang w:val="nn-NO"/>
        </w:rPr>
      </w:pPr>
      <w:bookmarkStart w:id="6" w:name="Start"/>
      <w:bookmarkEnd w:id="6"/>
      <w:r w:rsidRPr="00EE6951">
        <w:rPr>
          <w:b/>
          <w:u w:val="single"/>
          <w:lang w:val="nn-NO"/>
        </w:rPr>
        <w:t>Tilråding:</w:t>
      </w:r>
    </w:p>
    <w:p w:rsidR="00983719" w:rsidRPr="00270D99" w:rsidRDefault="00983719" w:rsidP="001C651C">
      <w:pPr>
        <w:pStyle w:val="Liste"/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</w:pPr>
      <w:r w:rsidRPr="00EE6951">
        <w:rPr>
          <w:lang w:val="nn-NO"/>
        </w:rPr>
        <w:t>NTNU har i stu</w:t>
      </w:r>
      <w:r w:rsidRPr="00426639">
        <w:t>dieåret 201</w:t>
      </w:r>
      <w:r w:rsidR="00426639" w:rsidRPr="00426639">
        <w:t>4/15</w:t>
      </w:r>
      <w:r w:rsidRPr="00426639">
        <w:t xml:space="preserve"> en samlet </w:t>
      </w:r>
      <w:r w:rsidR="00094C1D">
        <w:t xml:space="preserve">minimum </w:t>
      </w:r>
      <w:r w:rsidRPr="00426639">
        <w:t>opptaksramme på</w:t>
      </w:r>
      <w:r w:rsidRPr="00646259">
        <w:t xml:space="preserve"> </w:t>
      </w:r>
      <w:r w:rsidR="00E11E36" w:rsidRPr="00646259">
        <w:t>73</w:t>
      </w:r>
      <w:r w:rsidR="00A740BA" w:rsidRPr="00646259">
        <w:t>20</w:t>
      </w:r>
      <w:r w:rsidR="00943D63">
        <w:t xml:space="preserve"> studenter. Alle studiepro</w:t>
      </w:r>
      <w:r w:rsidR="00943D63">
        <w:softHyphen/>
        <w:t>gram</w:t>
      </w:r>
      <w:r w:rsidRPr="00426639">
        <w:t>mene ved NT</w:t>
      </w:r>
      <w:r w:rsidRPr="00270D99">
        <w:t>NU er adg</w:t>
      </w:r>
      <w:r w:rsidR="00CC7694" w:rsidRPr="00270D99">
        <w:t>angsbegrenset i studieåret 201</w:t>
      </w:r>
      <w:r w:rsidR="00426639" w:rsidRPr="00270D99">
        <w:t>4/15.</w:t>
      </w:r>
    </w:p>
    <w:p w:rsidR="00983719" w:rsidRPr="006F3CC8" w:rsidRDefault="00983719" w:rsidP="00B56DF8">
      <w:pPr>
        <w:pStyle w:val="Liste"/>
        <w:numPr>
          <w:ilvl w:val="0"/>
          <w:numId w:val="1"/>
        </w:numPr>
        <w:tabs>
          <w:tab w:val="clear" w:pos="720"/>
        </w:tabs>
        <w:spacing w:before="240"/>
        <w:ind w:left="357" w:hanging="357"/>
      </w:pPr>
      <w:r w:rsidRPr="00270D99">
        <w:t>Opptaksrammen for de enkelte studiep</w:t>
      </w:r>
      <w:r w:rsidR="00CC7694" w:rsidRPr="00270D99">
        <w:t xml:space="preserve">rogrammene </w:t>
      </w:r>
      <w:r w:rsidR="00144A4E" w:rsidRPr="00270D99">
        <w:t>og de ufordelte opptaksbu</w:t>
      </w:r>
      <w:r w:rsidR="0046052A" w:rsidRPr="00270D99">
        <w:t>f</w:t>
      </w:r>
      <w:r w:rsidR="00144A4E" w:rsidRPr="00270D99">
        <w:t>fe</w:t>
      </w:r>
      <w:r w:rsidR="0046052A" w:rsidRPr="00270D99">
        <w:t>r</w:t>
      </w:r>
      <w:r w:rsidR="00144A4E" w:rsidRPr="00270D99">
        <w:t xml:space="preserve">ne </w:t>
      </w:r>
      <w:r w:rsidR="00B56DF8">
        <w:t xml:space="preserve">er i studieåret </w:t>
      </w:r>
      <w:r w:rsidR="00CC7694" w:rsidRPr="00270D99">
        <w:t>201</w:t>
      </w:r>
      <w:r w:rsidR="00270D99" w:rsidRPr="00270D99">
        <w:t>4</w:t>
      </w:r>
      <w:r w:rsidR="00CC7694" w:rsidRPr="00270D99">
        <w:t>/</w:t>
      </w:r>
      <w:r w:rsidRPr="00270D99">
        <w:t>1</w:t>
      </w:r>
      <w:r w:rsidR="00270D99" w:rsidRPr="00270D99">
        <w:t>5</w:t>
      </w:r>
      <w:r w:rsidR="00D95F50" w:rsidRPr="00270D99">
        <w:t xml:space="preserve"> satt til: </w:t>
      </w:r>
      <w:r w:rsidR="00D95F50" w:rsidRPr="00270D99">
        <w:br/>
        <w:t>&lt;vedlagt tabell</w:t>
      </w:r>
      <w:r w:rsidR="00D95F50" w:rsidRPr="006F3CC8">
        <w:t>&gt;</w:t>
      </w:r>
    </w:p>
    <w:p w:rsidR="006C69AE" w:rsidRPr="006F3CC8" w:rsidRDefault="006F3CC8" w:rsidP="006C69AE">
      <w:pPr>
        <w:pStyle w:val="Liste"/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</w:pPr>
      <w:r w:rsidRPr="006F3CC8">
        <w:t>Den totale o</w:t>
      </w:r>
      <w:r w:rsidR="002B44F1" w:rsidRPr="006F3CC8">
        <w:t>pptaksrammen til de trinndelte norskk</w:t>
      </w:r>
      <w:r w:rsidR="0099363E">
        <w:t>ursene er i 2014 på 1230</w:t>
      </w:r>
      <w:r w:rsidR="005C6F25" w:rsidRPr="006F3CC8">
        <w:t xml:space="preserve"> </w:t>
      </w:r>
      <w:r w:rsidR="002B44F1" w:rsidRPr="006F3CC8">
        <w:t xml:space="preserve">plasser, og er uavhengig av rammene til de øvrige opptakene ved NTNU. </w:t>
      </w:r>
      <w:r w:rsidR="0099363E">
        <w:t>Disse fordeles på</w:t>
      </w:r>
      <w:r w:rsidR="00706B1C">
        <w:t xml:space="preserve"> </w:t>
      </w:r>
      <w:r w:rsidR="004812DF">
        <w:t>615 vå</w:t>
      </w:r>
      <w:r w:rsidRPr="006F3CC8">
        <w:t>r og 615 høst.</w:t>
      </w:r>
    </w:p>
    <w:p w:rsidR="002B44F1" w:rsidRDefault="000B4EDD" w:rsidP="001C651C">
      <w:pPr>
        <w:pStyle w:val="Liste"/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</w:pPr>
      <w:r w:rsidRPr="00C35D1B">
        <w:t xml:space="preserve">Rektor </w:t>
      </w:r>
      <w:r w:rsidR="008837B9" w:rsidRPr="00C35D1B">
        <w:t>får</w:t>
      </w:r>
      <w:r w:rsidR="002B44F1" w:rsidRPr="00C35D1B">
        <w:t xml:space="preserve"> følgende</w:t>
      </w:r>
      <w:r w:rsidR="008837B9" w:rsidRPr="00C35D1B">
        <w:t xml:space="preserve"> </w:t>
      </w:r>
      <w:r w:rsidRPr="00C35D1B">
        <w:t>fullmakt</w:t>
      </w:r>
      <w:r w:rsidR="00C35D1B" w:rsidRPr="00C35D1B">
        <w:t>er for opptaket i 2014/15</w:t>
      </w:r>
      <w:r w:rsidR="002B44F1" w:rsidRPr="00C35D1B">
        <w:t>:</w:t>
      </w:r>
    </w:p>
    <w:p w:rsidR="00184815" w:rsidRPr="00C35D1B" w:rsidRDefault="00184815" w:rsidP="00184815">
      <w:pPr>
        <w:pStyle w:val="Liste"/>
        <w:numPr>
          <w:ilvl w:val="0"/>
          <w:numId w:val="12"/>
        </w:numPr>
        <w:spacing w:before="240"/>
        <w:jc w:val="both"/>
      </w:pPr>
      <w:r>
        <w:t>Fordele ufordelte rammer for henholdsvis sivilingeniørstudiene og de enkelte fakultet i samråd med Forvaltningsutvalget for sivilingeniørutdanningen og de aktuelle fakultetene.</w:t>
      </w:r>
    </w:p>
    <w:p w:rsidR="008F3FAC" w:rsidRPr="00C35D1B" w:rsidRDefault="00387063" w:rsidP="001C651C">
      <w:pPr>
        <w:pStyle w:val="Liste"/>
        <w:numPr>
          <w:ilvl w:val="0"/>
          <w:numId w:val="12"/>
        </w:numPr>
        <w:spacing w:before="60"/>
        <w:ind w:left="714" w:hanging="357"/>
        <w:jc w:val="both"/>
      </w:pPr>
      <w:r>
        <w:t>J</w:t>
      </w:r>
      <w:r w:rsidR="002B44F1" w:rsidRPr="00C35D1B">
        <w:t xml:space="preserve">ustere </w:t>
      </w:r>
      <w:r w:rsidR="000B4EDD" w:rsidRPr="00C35D1B">
        <w:t>de endelige opp</w:t>
      </w:r>
      <w:r w:rsidR="000B4EDD" w:rsidRPr="00C35D1B">
        <w:softHyphen/>
        <w:t>taks</w:t>
      </w:r>
      <w:r w:rsidR="000B4EDD" w:rsidRPr="00C35D1B">
        <w:softHyphen/>
        <w:t>ram</w:t>
      </w:r>
      <w:r w:rsidR="000B4EDD" w:rsidRPr="00C35D1B">
        <w:softHyphen/>
        <w:t>mene mellom studieret</w:t>
      </w:r>
      <w:r w:rsidR="000B4EDD" w:rsidRPr="00C35D1B">
        <w:softHyphen/>
        <w:t>ning</w:t>
      </w:r>
      <w:r w:rsidR="000B4EDD" w:rsidRPr="00C35D1B">
        <w:softHyphen/>
        <w:t>ene t</w:t>
      </w:r>
      <w:r w:rsidR="00F207A3">
        <w:t>il 3-årig yrkesfaglærerutda</w:t>
      </w:r>
      <w:r w:rsidR="008F3FAC" w:rsidRPr="00C35D1B">
        <w:t>n</w:t>
      </w:r>
      <w:r w:rsidR="00F207A3">
        <w:t>n</w:t>
      </w:r>
      <w:r w:rsidR="00FF35D2">
        <w:t>ing</w:t>
      </w:r>
      <w:r w:rsidR="004812DF">
        <w:t>, som er en fellesgrad med Høgskolen i Sør Trøndelag (HiST).</w:t>
      </w:r>
      <w:r w:rsidR="00F207A3">
        <w:t xml:space="preserve"> Det gjøres når søker</w:t>
      </w:r>
      <w:r w:rsidR="000B4EDD" w:rsidRPr="00C35D1B">
        <w:t>grunnlaget er kjent, og skal skje</w:t>
      </w:r>
      <w:r w:rsidR="00C71F92">
        <w:t xml:space="preserve"> ved</w:t>
      </w:r>
      <w:r w:rsidR="00C05869">
        <w:t xml:space="preserve"> samråd mellom</w:t>
      </w:r>
      <w:r w:rsidR="008F3FAC" w:rsidRPr="00C35D1B">
        <w:t xml:space="preserve"> </w:t>
      </w:r>
      <w:r w:rsidR="004812DF">
        <w:t>SVT og HiST</w:t>
      </w:r>
      <w:r w:rsidR="008F3FAC" w:rsidRPr="00C35D1B">
        <w:t>.</w:t>
      </w:r>
    </w:p>
    <w:p w:rsidR="00387063" w:rsidRDefault="00387063" w:rsidP="001C651C">
      <w:pPr>
        <w:pStyle w:val="Liste"/>
        <w:numPr>
          <w:ilvl w:val="0"/>
          <w:numId w:val="12"/>
        </w:numPr>
        <w:spacing w:before="60"/>
        <w:ind w:left="714" w:hanging="357"/>
        <w:jc w:val="both"/>
      </w:pPr>
      <w:r>
        <w:t xml:space="preserve">Til å tildele nye studieplasser til </w:t>
      </w:r>
      <w:r w:rsidR="0096709D" w:rsidRPr="00C35D1B">
        <w:t>grupper av studie</w:t>
      </w:r>
      <w:r w:rsidR="00E13E43" w:rsidRPr="00C35D1B">
        <w:softHyphen/>
      </w:r>
      <w:r w:rsidR="0096709D" w:rsidRPr="00C35D1B">
        <w:t>program eller som en generell utvidelse av opp</w:t>
      </w:r>
      <w:r w:rsidR="00E11E36">
        <w:t>taks</w:t>
      </w:r>
      <w:r w:rsidR="0096709D" w:rsidRPr="00C35D1B">
        <w:t xml:space="preserve">rammen </w:t>
      </w:r>
      <w:r>
        <w:t xml:space="preserve">gitt at NTNU får dette. </w:t>
      </w:r>
    </w:p>
    <w:p w:rsidR="00FB5B18" w:rsidRDefault="00FB5B18" w:rsidP="001C651C">
      <w:pPr>
        <w:pStyle w:val="Liste"/>
        <w:numPr>
          <w:ilvl w:val="0"/>
          <w:numId w:val="12"/>
        </w:numPr>
        <w:spacing w:before="60"/>
        <w:ind w:left="714" w:hanging="357"/>
        <w:jc w:val="both"/>
      </w:pPr>
      <w:r>
        <w:t>S</w:t>
      </w:r>
      <w:r w:rsidRPr="006F3CC8">
        <w:t>ette opptaksrammer for</w:t>
      </w:r>
      <w:r>
        <w:t xml:space="preserve"> trinndelte norskkurs</w:t>
      </w:r>
      <w:r w:rsidRPr="006F3CC8">
        <w:t xml:space="preserve"> 2014</w:t>
      </w:r>
      <w:r>
        <w:t xml:space="preserve">, og </w:t>
      </w:r>
      <w:r w:rsidRPr="006F3CC8">
        <w:t>til å overføre eventuelle ledige plasser mellom kvotene og kategoriene i samråd med Det humanistiske fakultet.</w:t>
      </w:r>
    </w:p>
    <w:p w:rsidR="002B44F1" w:rsidRDefault="00387063" w:rsidP="001C651C">
      <w:pPr>
        <w:pStyle w:val="Liste"/>
        <w:numPr>
          <w:ilvl w:val="0"/>
          <w:numId w:val="12"/>
        </w:numPr>
        <w:spacing w:before="60"/>
        <w:ind w:left="714" w:hanging="357"/>
        <w:jc w:val="both"/>
      </w:pPr>
      <w:r>
        <w:t>F</w:t>
      </w:r>
      <w:r w:rsidR="002B44F1" w:rsidRPr="00C35D1B">
        <w:t>astsette hvilke emner so</w:t>
      </w:r>
      <w:r w:rsidR="00E11E36">
        <w:t>m skal adgangs</w:t>
      </w:r>
      <w:r w:rsidR="002B44F1" w:rsidRPr="00C35D1B">
        <w:t>begrenses i studieåret 201</w:t>
      </w:r>
      <w:r w:rsidR="00C35D1B" w:rsidRPr="00C35D1B">
        <w:t>4/15</w:t>
      </w:r>
      <w:r w:rsidR="002B44F1" w:rsidRPr="00C35D1B">
        <w:t>, med tilhørende opptaksramme. De skal fastse</w:t>
      </w:r>
      <w:r w:rsidR="005C6F25" w:rsidRPr="00C35D1B">
        <w:t xml:space="preserve">ttes innen utgangen av </w:t>
      </w:r>
      <w:r w:rsidR="00E13E43" w:rsidRPr="00C35D1B">
        <w:t>jan</w:t>
      </w:r>
      <w:r w:rsidR="005D217A" w:rsidRPr="00C35D1B">
        <w:t>uar</w:t>
      </w:r>
      <w:r w:rsidR="00C35D1B" w:rsidRPr="00C35D1B">
        <w:t xml:space="preserve"> 2014</w:t>
      </w:r>
      <w:r w:rsidR="002B44F1" w:rsidRPr="00C35D1B">
        <w:t>.</w:t>
      </w:r>
    </w:p>
    <w:p w:rsidR="004F4FE8" w:rsidRPr="00426639" w:rsidRDefault="004F4FE8" w:rsidP="004F4FE8">
      <w:pPr>
        <w:pStyle w:val="Listeavsnitt"/>
        <w:tabs>
          <w:tab w:val="left" w:pos="567"/>
          <w:tab w:val="right" w:pos="9809"/>
        </w:tabs>
      </w:pPr>
    </w:p>
    <w:p w:rsidR="004F4FE8" w:rsidRDefault="004F4FE8" w:rsidP="004F4FE8">
      <w:pPr>
        <w:pStyle w:val="Listeavsnitt"/>
        <w:pBdr>
          <w:top w:val="single" w:sz="6" w:space="1" w:color="auto"/>
        </w:pBdr>
        <w:ind w:left="0"/>
      </w:pPr>
    </w:p>
    <w:p w:rsidR="00DC4D06" w:rsidRDefault="00DC4D06" w:rsidP="004F4FE8">
      <w:pPr>
        <w:pStyle w:val="Listeavsnitt"/>
        <w:pBdr>
          <w:top w:val="single" w:sz="6" w:space="1" w:color="auto"/>
        </w:pBdr>
        <w:ind w:left="0"/>
      </w:pPr>
    </w:p>
    <w:p w:rsidR="00DC4D06" w:rsidRDefault="00DC4D06" w:rsidP="004F4FE8">
      <w:pPr>
        <w:pStyle w:val="Listeavsnitt"/>
        <w:pBdr>
          <w:top w:val="single" w:sz="6" w:space="1" w:color="auto"/>
        </w:pBdr>
        <w:ind w:left="0"/>
      </w:pPr>
    </w:p>
    <w:p w:rsidR="00DC4D06" w:rsidRDefault="00DC4D06" w:rsidP="004F4FE8">
      <w:pPr>
        <w:pStyle w:val="Listeavsnitt"/>
        <w:pBdr>
          <w:top w:val="single" w:sz="6" w:space="1" w:color="auto"/>
        </w:pBdr>
        <w:ind w:left="0"/>
      </w:pPr>
    </w:p>
    <w:p w:rsidR="00DC4D06" w:rsidRDefault="00DC4D06" w:rsidP="004F4FE8">
      <w:pPr>
        <w:pStyle w:val="Listeavsnitt"/>
        <w:pBdr>
          <w:top w:val="single" w:sz="6" w:space="1" w:color="auto"/>
        </w:pBdr>
        <w:ind w:left="0"/>
      </w:pPr>
    </w:p>
    <w:p w:rsidR="001C651C" w:rsidRPr="00C35D1B" w:rsidRDefault="001C651C" w:rsidP="001C651C">
      <w:pPr>
        <w:pStyle w:val="Liste"/>
        <w:spacing w:before="60"/>
        <w:ind w:left="357" w:firstLine="0"/>
        <w:jc w:val="both"/>
      </w:pPr>
    </w:p>
    <w:p w:rsidR="00AD3855" w:rsidRDefault="00AD3855" w:rsidP="00995611">
      <w:pPr>
        <w:pStyle w:val="Overskrift4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Bakgrunn</w:t>
      </w:r>
    </w:p>
    <w:p w:rsidR="00AD3855" w:rsidRDefault="00AD3855" w:rsidP="00AD3855">
      <w:r>
        <w:t>Alle st</w:t>
      </w:r>
      <w:r w:rsidR="00630B8F">
        <w:t xml:space="preserve">udieprogram ved NTNU er adgangsbegrenset (S-sak </w:t>
      </w:r>
      <w:r w:rsidR="00224921" w:rsidRPr="00995611">
        <w:t>48/06</w:t>
      </w:r>
      <w:r w:rsidR="00630B8F">
        <w:t>)</w:t>
      </w:r>
      <w:r w:rsidRPr="00995611">
        <w:t>.</w:t>
      </w:r>
      <w:r>
        <w:rPr>
          <w:b/>
        </w:rPr>
        <w:t xml:space="preserve"> </w:t>
      </w:r>
      <w:r>
        <w:t>Når en institusjon vedtar adgangsbegrensning for å begrense opptaket pålegges det i</w:t>
      </w:r>
      <w:r w:rsidR="00706B1C">
        <w:t xml:space="preserve"> Universitets- og høyskoleloven</w:t>
      </w:r>
      <w:r>
        <w:t>s</w:t>
      </w:r>
      <w:r w:rsidR="00706B1C">
        <w:t xml:space="preserve"> </w:t>
      </w:r>
      <w:r>
        <w:t>§ 3-7, punkt 5 institusjonens styre å fatte vedtak om opptaksrammen for hvert enkelt studieprogram:</w:t>
      </w:r>
    </w:p>
    <w:p w:rsidR="00AD3855" w:rsidRDefault="00AD3855" w:rsidP="00AD3855"/>
    <w:p w:rsidR="00AD3855" w:rsidRPr="005C353C" w:rsidRDefault="00AD3855" w:rsidP="00AD3855">
      <w:pPr>
        <w:ind w:left="705"/>
        <w:rPr>
          <w:i/>
          <w:color w:val="000000"/>
          <w:sz w:val="22"/>
        </w:rPr>
      </w:pPr>
      <w:r w:rsidRPr="005C353C">
        <w:rPr>
          <w:i/>
          <w:color w:val="000000"/>
          <w:sz w:val="22"/>
        </w:rPr>
        <w:t xml:space="preserve">Når kapasitetshensyn eller ressurshensyn krever det, kan styret selv regulere adgangen til det enkelte </w:t>
      </w:r>
      <w:r w:rsidR="001556BB">
        <w:rPr>
          <w:i/>
          <w:color w:val="000000"/>
          <w:sz w:val="22"/>
        </w:rPr>
        <w:t xml:space="preserve">studium </w:t>
      </w:r>
      <w:r w:rsidRPr="005C353C">
        <w:rPr>
          <w:i/>
          <w:color w:val="000000"/>
          <w:sz w:val="22"/>
        </w:rPr>
        <w:t>eller deler av det, innenfor de rammer og mål som gis av departementet.</w:t>
      </w:r>
    </w:p>
    <w:p w:rsidR="00945752" w:rsidRDefault="00945752" w:rsidP="00945752">
      <w:pPr>
        <w:rPr>
          <w:rFonts w:ascii="Arial" w:hAnsi="Arial" w:cs="Arial"/>
          <w:color w:val="000000"/>
          <w:sz w:val="20"/>
        </w:rPr>
      </w:pPr>
    </w:p>
    <w:p w:rsidR="00945752" w:rsidRPr="00945752" w:rsidRDefault="00945752" w:rsidP="00945752">
      <w:pPr>
        <w:spacing w:after="240"/>
        <w:jc w:val="both"/>
      </w:pPr>
      <w:r w:rsidRPr="00945752">
        <w:t xml:space="preserve">Ut over å være styringsredskap for institusjonens ledelse, er en opptaksramme </w:t>
      </w:r>
      <w:r w:rsidR="007D6CB5">
        <w:t>for hvert studieprogram styrende for</w:t>
      </w:r>
      <w:r w:rsidRPr="00945752">
        <w:t xml:space="preserve"> opptaksprosess</w:t>
      </w:r>
      <w:r w:rsidR="007D6CB5">
        <w:t xml:space="preserve">en, </w:t>
      </w:r>
      <w:r w:rsidRPr="00945752">
        <w:t xml:space="preserve">en garanti overfor søkerne om hvor mange studieplasser </w:t>
      </w:r>
      <w:r w:rsidR="00995611">
        <w:t xml:space="preserve">det er </w:t>
      </w:r>
      <w:r w:rsidRPr="00945752">
        <w:t xml:space="preserve">på hvert </w:t>
      </w:r>
      <w:r w:rsidR="007D6CB5">
        <w:t>studieprogram og et redskap for gjennomføring av opptaket.</w:t>
      </w:r>
    </w:p>
    <w:p w:rsidR="000215DD" w:rsidRDefault="005C5FC3" w:rsidP="000215DD">
      <w:pPr>
        <w:spacing w:before="240"/>
        <w:jc w:val="both"/>
      </w:pPr>
      <w:r>
        <w:t xml:space="preserve">Styret fastsetter opptaksrammer for studieprogram som legges ut </w:t>
      </w:r>
      <w:r w:rsidR="00CD476F">
        <w:t xml:space="preserve">gjennom Samordna Opptak og </w:t>
      </w:r>
      <w:r w:rsidR="000215DD" w:rsidRPr="000215DD">
        <w:t>studieprogram som bygger på annen høyere utda</w:t>
      </w:r>
      <w:r w:rsidR="00E11E36">
        <w:t>nning, der NTNU administrer</w:t>
      </w:r>
      <w:r w:rsidR="000215DD" w:rsidRPr="000215DD">
        <w:t>er opptakene lokalt. Lokale opptak ved NT</w:t>
      </w:r>
      <w:r w:rsidR="00E11E36">
        <w:t>NU omfatter alle 2-årige master</w:t>
      </w:r>
      <w:r w:rsidR="000215DD" w:rsidRPr="000215DD">
        <w:t>p</w:t>
      </w:r>
      <w:r w:rsidR="00E11E36">
        <w:t>rogram, bachelorprogram</w:t>
      </w:r>
      <w:r w:rsidR="000215DD" w:rsidRPr="000215DD">
        <w:t>mene i bil</w:t>
      </w:r>
      <w:r w:rsidR="00E11E36">
        <w:t>led</w:t>
      </w:r>
      <w:r w:rsidR="00CD476F">
        <w:t xml:space="preserve">kunst, </w:t>
      </w:r>
      <w:r w:rsidR="00E11E36">
        <w:t>utøv</w:t>
      </w:r>
      <w:r w:rsidR="000215DD" w:rsidRPr="000215DD">
        <w:t xml:space="preserve">ende </w:t>
      </w:r>
      <w:r w:rsidR="00CD476F">
        <w:t xml:space="preserve">musikk </w:t>
      </w:r>
      <w:r w:rsidR="000215DD" w:rsidRPr="000215DD">
        <w:t>og til 1-årig praktisk-pedagogisk utdanning</w:t>
      </w:r>
      <w:r w:rsidR="00B37C83">
        <w:t xml:space="preserve"> inklusive deltidsstudiene</w:t>
      </w:r>
      <w:r w:rsidR="000215DD" w:rsidRPr="000215DD">
        <w:t>.</w:t>
      </w:r>
      <w:r>
        <w:t xml:space="preserve"> Styret fastsetter ikke opptaksrammer til ph.d.-programmene, de erfaringsbaserte masterprogrammene eller årstudier. Disse settes av Rektor eller fakultet.</w:t>
      </w:r>
    </w:p>
    <w:p w:rsidR="00BF09DD" w:rsidRDefault="00BF09DD" w:rsidP="005A3F6A">
      <w:pPr>
        <w:spacing w:after="240"/>
        <w:jc w:val="both"/>
      </w:pPr>
    </w:p>
    <w:p w:rsidR="00696A86" w:rsidRDefault="00696A86" w:rsidP="005A3F6A">
      <w:pPr>
        <w:spacing w:after="240"/>
        <w:jc w:val="both"/>
      </w:pPr>
      <w:r>
        <w:t xml:space="preserve">Opptaket for 2014 må justeres i forhold til antall studieplasser NTNU har fått tildelt. I 2007 ble det foretatt en totalvurdering som konkluderte med at dette tallet skulle være 19368 (S-sak 24/07). Deretter er måltallet justert med nyopprettede og videreført studieplasser, sist i revidert nasjonalbudsjett i 2012. </w:t>
      </w:r>
    </w:p>
    <w:p w:rsidR="005A3F6A" w:rsidRDefault="00831EDB" w:rsidP="005A3F6A">
      <w:pPr>
        <w:spacing w:after="240"/>
        <w:jc w:val="both"/>
      </w:pPr>
      <w:r>
        <w:t xml:space="preserve">Minimum registertall </w:t>
      </w:r>
      <w:r w:rsidR="00696A86">
        <w:t xml:space="preserve">ved NTNU </w:t>
      </w:r>
      <w:r w:rsidR="005A3F6A">
        <w:t xml:space="preserve">høsten 2014 er nå </w:t>
      </w:r>
      <w:r w:rsidR="0078676A" w:rsidRPr="00167E3D">
        <w:t>20.983</w:t>
      </w:r>
      <w:r w:rsidR="005A3F6A" w:rsidRPr="00167E3D">
        <w:t>.</w:t>
      </w:r>
      <w:r w:rsidR="005A3F6A">
        <w:rPr>
          <w:b/>
        </w:rPr>
        <w:t xml:space="preserve"> </w:t>
      </w:r>
      <w:r w:rsidR="00DC7910">
        <w:t>Eventuelle nye studie</w:t>
      </w:r>
      <w:r w:rsidR="005A3F6A" w:rsidRPr="007000B8">
        <w:t xml:space="preserve">plasser som måtte </w:t>
      </w:r>
      <w:r w:rsidR="00191835">
        <w:t>komme i</w:t>
      </w:r>
      <w:r w:rsidR="005A3F6A" w:rsidRPr="007000B8">
        <w:t xml:space="preserve"> revid</w:t>
      </w:r>
      <w:r w:rsidR="00DC7910">
        <w:t>ert nasjonal</w:t>
      </w:r>
      <w:r w:rsidR="005A3F6A">
        <w:t>budsjett våren 2014</w:t>
      </w:r>
      <w:r w:rsidR="00167E3D">
        <w:t>, blir inkludert dersom</w:t>
      </w:r>
      <w:r w:rsidR="00FF0D7F">
        <w:t xml:space="preserve"> det blir aktuelt. Dette register</w:t>
      </w:r>
      <w:r w:rsidR="005A3F6A" w:rsidRPr="007000B8">
        <w:t>tallet er ikke brutt ned på de enkelte fakultetene og studie</w:t>
      </w:r>
      <w:r w:rsidR="005A3F6A" w:rsidRPr="007000B8">
        <w:softHyphen/>
        <w:t xml:space="preserve">områdene. </w:t>
      </w:r>
      <w:r w:rsidR="00905616">
        <w:t>I dette måltallet inngår ikke s</w:t>
      </w:r>
      <w:r w:rsidR="005A3F6A" w:rsidRPr="007000B8">
        <w:t xml:space="preserve">tudenter på kurs og program definert som etter- </w:t>
      </w:r>
      <w:r w:rsidR="00905616">
        <w:t>og videreutdanning eller studenter</w:t>
      </w:r>
      <w:r w:rsidR="005A3F6A" w:rsidRPr="007000B8">
        <w:t xml:space="preserve"> registrert på de trinndelte norskkursene på Det humanistiske fakultet.</w:t>
      </w:r>
    </w:p>
    <w:p w:rsidR="005C353C" w:rsidRDefault="00EB5600" w:rsidP="005C353C">
      <w:pPr>
        <w:spacing w:after="240"/>
        <w:jc w:val="both"/>
      </w:pPr>
      <w:r>
        <w:t xml:space="preserve">Registertallet for høstsemesteret 2013 er dermed 21557, mens måltallet var 574 lavere. Dette er en prosentvis differanse på 2,6 %. </w:t>
      </w:r>
      <w:r w:rsidR="00590979">
        <w:t>Noe kan</w:t>
      </w:r>
      <w:r w:rsidR="005C353C">
        <w:t xml:space="preserve"> tilskrives ordningen med at studenter med fullført grad kan be om en post-studierett og inngår dermed i registertallet uten at det blir regulert gjennom adgangsbegrensning.</w:t>
      </w:r>
    </w:p>
    <w:p w:rsidR="000C3231" w:rsidRDefault="004A0B05" w:rsidP="000C3231">
      <w:pPr>
        <w:spacing w:after="240"/>
        <w:contextualSpacing/>
        <w:jc w:val="both"/>
      </w:pPr>
      <w:r>
        <w:t>Opptaksrammen for 2014 er satt til 7320. Det tar hensyn til registertallet for 2013 og antall videreførte studieplasser. I tillegg har fakultetene vurdert kapasitet og utviklingstrender innen ulike utdanningsområder over en 3 års periode. Dette er vist videre i dokumentet. Til orientering ble opptaksrammen for 2013 satt til 7200, og det møtte 7138.</w:t>
      </w:r>
    </w:p>
    <w:p w:rsidR="009A6965" w:rsidRDefault="009A6965" w:rsidP="000C3231">
      <w:pPr>
        <w:spacing w:after="240"/>
        <w:contextualSpacing/>
        <w:jc w:val="both"/>
      </w:pPr>
    </w:p>
    <w:p w:rsidR="009A6965" w:rsidRDefault="009A6965" w:rsidP="000C3231">
      <w:pPr>
        <w:spacing w:after="240"/>
        <w:contextualSpacing/>
        <w:jc w:val="both"/>
      </w:pPr>
      <w:r>
        <w:t xml:space="preserve">I opptaket blir det tatt høyde for frafall fra ja-svar til møtt ved at det overbookes på bakgrunn av historikk. </w:t>
      </w:r>
      <w:r w:rsidR="0061279B">
        <w:t xml:space="preserve">Denne mekanismen har fungert godt for å treffe de vedtatte opptaksrammene på programnivå. </w:t>
      </w:r>
      <w:r>
        <w:t>Det er også rom for at fakultetene kan overbooke dersom de har kapasitet for å ta høyde for forventet frafall underveis i studiet.</w:t>
      </w:r>
    </w:p>
    <w:p w:rsidR="00094C1D" w:rsidRDefault="00094C1D" w:rsidP="000C3231">
      <w:pPr>
        <w:spacing w:after="240"/>
        <w:contextualSpacing/>
        <w:jc w:val="both"/>
      </w:pPr>
    </w:p>
    <w:p w:rsidR="00094C1D" w:rsidRPr="00F4612C" w:rsidRDefault="000F1E51" w:rsidP="000C3231">
      <w:pPr>
        <w:spacing w:after="240"/>
        <w:contextualSpacing/>
        <w:jc w:val="both"/>
      </w:pPr>
      <w:r>
        <w:t xml:space="preserve">Med hensyn til å </w:t>
      </w:r>
      <w:r w:rsidR="001273BF">
        <w:t>justere størrelsen</w:t>
      </w:r>
      <w:r w:rsidR="00094C1D">
        <w:t xml:space="preserve"> på opptaksrammen med utgangspunkt i kandidatproduksjon gjenstår det noen utfordringer. Noen program kan ha frafall fra møtt til uteksaminerte kandidater uten at de nødvendigvis har kapasitet til å øke opptaket for å ta høyde for dette. Det har også vært en utfordring at ferdige kandidater ikke har tatt ut graden sin. </w:t>
      </w:r>
      <w:r w:rsidR="001273BF">
        <w:t>Dette gjelder særlig på b</w:t>
      </w:r>
      <w:r w:rsidR="00094C1D">
        <w:t>achelorprogram. De</w:t>
      </w:r>
      <w:r w:rsidR="00412B25">
        <w:t>tte er det nå tatt grep om ved at det</w:t>
      </w:r>
      <w:r w:rsidR="00094C1D">
        <w:t xml:space="preserve"> fra og med </w:t>
      </w:r>
      <w:r w:rsidR="00FE734D">
        <w:t xml:space="preserve">høstsemesteret </w:t>
      </w:r>
      <w:r w:rsidR="00094C1D">
        <w:t>201</w:t>
      </w:r>
      <w:r w:rsidR="00412B25">
        <w:t>4 blir utstedt</w:t>
      </w:r>
      <w:r w:rsidR="001273BF">
        <w:t xml:space="preserve"> b</w:t>
      </w:r>
      <w:r w:rsidR="00094C1D">
        <w:t>achelorgrader automatisk</w:t>
      </w:r>
      <w:r w:rsidR="003336B3">
        <w:t xml:space="preserve"> (S-sak 39/13)</w:t>
      </w:r>
      <w:r w:rsidR="00094C1D">
        <w:t xml:space="preserve">. Det betyr at vi på sikt vil få bedre tall for å se </w:t>
      </w:r>
      <w:r w:rsidR="00094C1D">
        <w:lastRenderedPageBreak/>
        <w:t>det faktiske f</w:t>
      </w:r>
      <w:r w:rsidR="00681580">
        <w:t>rafallet og gjennomføringsgrad, og da se dette i</w:t>
      </w:r>
      <w:r w:rsidR="00020F74">
        <w:t xml:space="preserve"> større</w:t>
      </w:r>
      <w:r w:rsidR="00681580">
        <w:t xml:space="preserve"> sammenheng med opptaksrammene.</w:t>
      </w:r>
    </w:p>
    <w:p w:rsidR="00ED5221" w:rsidRPr="00D73284" w:rsidRDefault="00ED5221" w:rsidP="005C353C">
      <w:pPr>
        <w:spacing w:after="240"/>
        <w:contextualSpacing/>
        <w:jc w:val="both"/>
      </w:pPr>
    </w:p>
    <w:p w:rsidR="00546A47" w:rsidRDefault="00504C06" w:rsidP="00E13E43">
      <w:pPr>
        <w:spacing w:after="240"/>
        <w:contextualSpacing/>
        <w:jc w:val="both"/>
      </w:pPr>
      <w:r>
        <w:t>G</w:t>
      </w:r>
      <w:r w:rsidR="00A47139" w:rsidRPr="00F4612C">
        <w:t>jennom</w:t>
      </w:r>
      <w:r w:rsidR="006A2A78">
        <w:t xml:space="preserve"> å sette opptaksrammer for hvert enkelt studieprogram</w:t>
      </w:r>
      <w:r w:rsidR="00086A96">
        <w:t xml:space="preserve"> konkretiserer styret NTNUs utdanningsprofil</w:t>
      </w:r>
      <w:r w:rsidR="0003297F">
        <w:t xml:space="preserve"> for kommende studie</w:t>
      </w:r>
      <w:r w:rsidR="00A47139" w:rsidRPr="00F4612C">
        <w:t>år</w:t>
      </w:r>
      <w:r w:rsidR="00086A96">
        <w:t xml:space="preserve"> i volum</w:t>
      </w:r>
      <w:r w:rsidR="00A47139" w:rsidRPr="00F4612C">
        <w:t xml:space="preserve">. </w:t>
      </w:r>
      <w:r w:rsidR="00F4612C">
        <w:t>I styresak 50/13 ble endringer for studieprogramporteføljen f</w:t>
      </w:r>
      <w:r w:rsidR="002F7C99">
        <w:t>or studieåret 2014/2015 vedtatt. Det ble også orientert om bakgrunnen for Rektors opprettelser av nye årsstudier.</w:t>
      </w:r>
      <w:r w:rsidR="00F4612C">
        <w:t xml:space="preserve"> Det ble her lagt som en forutsetning at det ikke gis ekstra basisbevilgninger eller ekstra strategi- og omstillingsbevilgninger ved opprettelser av studieprogram og studieretninger. Det forutsettes dermed at studieplasser på nye studieprogram tas av fakultetets totale ramme.</w:t>
      </w:r>
      <w:r w:rsidR="00A725B2">
        <w:t xml:space="preserve"> </w:t>
      </w:r>
    </w:p>
    <w:p w:rsidR="00546A47" w:rsidRDefault="00546A47" w:rsidP="00E13E43">
      <w:pPr>
        <w:spacing w:after="240"/>
        <w:contextualSpacing/>
        <w:jc w:val="both"/>
      </w:pPr>
    </w:p>
    <w:p w:rsidR="006E36F5" w:rsidRDefault="006E36F5" w:rsidP="00E13E43">
      <w:pPr>
        <w:spacing w:after="240"/>
        <w:contextualSpacing/>
        <w:jc w:val="both"/>
        <w:rPr>
          <w:i/>
        </w:rPr>
      </w:pPr>
      <w:r w:rsidRPr="00E14BF1">
        <w:t>Summert er</w:t>
      </w:r>
      <w:r w:rsidR="00AF4C82">
        <w:t xml:space="preserve"> forslagene fra fakultetene</w:t>
      </w:r>
      <w:r w:rsidRPr="00E14BF1">
        <w:t xml:space="preserve"> på </w:t>
      </w:r>
      <w:r w:rsidR="00BC5355">
        <w:t>73</w:t>
      </w:r>
      <w:r w:rsidR="008B5A2E">
        <w:t>34</w:t>
      </w:r>
      <w:r w:rsidRPr="00952CF2">
        <w:t>,</w:t>
      </w:r>
      <w:r w:rsidRPr="00E14BF1">
        <w:t xml:space="preserve"> Med Rektors forslag </w:t>
      </w:r>
      <w:r w:rsidR="007C4F0C">
        <w:t>på 7320</w:t>
      </w:r>
      <w:r w:rsidR="00AB292A">
        <w:t xml:space="preserve">, er det </w:t>
      </w:r>
      <w:r w:rsidRPr="00E14BF1">
        <w:t>bare snakk om en justering av fakultetenes og</w:t>
      </w:r>
      <w:r w:rsidR="00564D4E">
        <w:t xml:space="preserve"> forvaltningsutvalgenes forslag.</w:t>
      </w:r>
      <w:r w:rsidR="00E958D1">
        <w:t xml:space="preserve"> </w:t>
      </w:r>
      <w:r w:rsidR="00E958D1" w:rsidRPr="007E3A31">
        <w:t>Dette er en økning på 120 plasser mot vedtatt opptaksramme i 2013.</w:t>
      </w:r>
      <w:r w:rsidR="0027103F" w:rsidRPr="007E3A31">
        <w:t xml:space="preserve"> </w:t>
      </w:r>
      <w:r w:rsidR="000C3231" w:rsidRPr="007E3A31">
        <w:t>Dette innebæ</w:t>
      </w:r>
      <w:r w:rsidR="005C2E40" w:rsidRPr="007E3A31">
        <w:t>rer at vi sannsynligvis også vil</w:t>
      </w:r>
      <w:r w:rsidR="000C3231" w:rsidRPr="007E3A31">
        <w:t xml:space="preserve"> få en </w:t>
      </w:r>
      <w:r w:rsidR="007E3A31" w:rsidRPr="007E3A31">
        <w:t>økning</w:t>
      </w:r>
      <w:r w:rsidR="00094C1D">
        <w:t xml:space="preserve"> fra minimum</w:t>
      </w:r>
      <w:r w:rsidR="000C3231" w:rsidRPr="007E3A31">
        <w:t xml:space="preserve"> registertall til faktisk registertall</w:t>
      </w:r>
      <w:r w:rsidR="00990619" w:rsidRPr="007E3A31">
        <w:t xml:space="preserve"> også</w:t>
      </w:r>
      <w:r w:rsidR="000C3231" w:rsidRPr="007E3A31">
        <w:t xml:space="preserve"> for 2014.</w:t>
      </w:r>
      <w:r w:rsidR="000C3231" w:rsidRPr="007E3A31">
        <w:rPr>
          <w:i/>
        </w:rPr>
        <w:t xml:space="preserve"> </w:t>
      </w:r>
    </w:p>
    <w:p w:rsidR="00C552D9" w:rsidRPr="00E958D1" w:rsidRDefault="00C552D9" w:rsidP="00E13E43">
      <w:pPr>
        <w:spacing w:after="240"/>
        <w:contextualSpacing/>
        <w:jc w:val="both"/>
        <w:rPr>
          <w:i/>
          <w:color w:val="FF0000"/>
        </w:rPr>
      </w:pPr>
    </w:p>
    <w:p w:rsidR="005E64B7" w:rsidRPr="003F2DD6" w:rsidRDefault="003F2DD6" w:rsidP="00CB48D4">
      <w:pPr>
        <w:pStyle w:val="Overskrift4"/>
        <w:spacing w:before="480"/>
        <w:rPr>
          <w:rFonts w:ascii="Arial" w:hAnsi="Arial" w:cs="Arial"/>
          <w:sz w:val="24"/>
          <w:szCs w:val="24"/>
        </w:rPr>
      </w:pPr>
      <w:r w:rsidRPr="003F2DD6">
        <w:rPr>
          <w:rFonts w:ascii="Arial" w:hAnsi="Arial" w:cs="Arial"/>
          <w:sz w:val="24"/>
          <w:szCs w:val="24"/>
        </w:rPr>
        <w:t>Opptaket i 2013</w:t>
      </w:r>
      <w:r w:rsidR="005E64B7" w:rsidRPr="003F2DD6">
        <w:rPr>
          <w:rFonts w:ascii="Arial" w:hAnsi="Arial" w:cs="Arial"/>
          <w:sz w:val="24"/>
          <w:szCs w:val="24"/>
        </w:rPr>
        <w:t xml:space="preserve">, gjennomgang og </w:t>
      </w:r>
      <w:r w:rsidRPr="003F2DD6">
        <w:rPr>
          <w:rFonts w:ascii="Arial" w:hAnsi="Arial" w:cs="Arial"/>
          <w:sz w:val="24"/>
          <w:szCs w:val="24"/>
        </w:rPr>
        <w:t>vurdering for opptaket i 2014</w:t>
      </w:r>
    </w:p>
    <w:p w:rsidR="00AB6A49" w:rsidRDefault="00AB6A49" w:rsidP="007B7A15">
      <w:pPr>
        <w:spacing w:after="240"/>
        <w:jc w:val="both"/>
      </w:pPr>
      <w:r>
        <w:t>I figur 1 ser vi antall registrert møtt fordelt på nivå fra 2011 til 2013. Vi ser en nedgang i møtt på bachelorstudier og profesjon, men ellers en jevn økning. Nedgangen innen profesjon er misvisende på grunn av at det i 2011 var en overgangsordning med opptak til både 5-årig og 6-årig profesjonsutdanning i psykologi.</w:t>
      </w:r>
    </w:p>
    <w:p w:rsidR="00C35869" w:rsidRDefault="00B97375" w:rsidP="007B7A15">
      <w:pPr>
        <w:spacing w:after="240"/>
        <w:jc w:val="both"/>
      </w:pPr>
      <w:r>
        <w:rPr>
          <w:noProof/>
        </w:rPr>
        <w:drawing>
          <wp:inline distT="0" distB="0" distL="0" distR="0" wp14:anchorId="59B2CE20" wp14:editId="2568B4AC">
            <wp:extent cx="5843905" cy="4160816"/>
            <wp:effectExtent l="0" t="0" r="23495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5869" w:rsidRDefault="00CD78DC" w:rsidP="007B7A15">
      <w:pPr>
        <w:spacing w:after="240"/>
        <w:jc w:val="both"/>
        <w:rPr>
          <w:i/>
        </w:rPr>
      </w:pPr>
      <w:r w:rsidRPr="00CD78DC">
        <w:rPr>
          <w:i/>
        </w:rPr>
        <w:t>figur 1</w:t>
      </w:r>
      <w:r w:rsidR="00F17578">
        <w:rPr>
          <w:i/>
        </w:rPr>
        <w:t>(tall hentet fra DBH med korrigering for duplikatregistreringer på PPU og FPPU)</w:t>
      </w:r>
    </w:p>
    <w:p w:rsidR="00410D7B" w:rsidRDefault="00410D7B" w:rsidP="007B7A15">
      <w:pPr>
        <w:spacing w:after="240"/>
        <w:jc w:val="both"/>
        <w:rPr>
          <w:i/>
        </w:rPr>
      </w:pPr>
    </w:p>
    <w:p w:rsidR="00623533" w:rsidRDefault="00623533" w:rsidP="007B7A15">
      <w:pPr>
        <w:spacing w:after="240"/>
        <w:jc w:val="both"/>
      </w:pPr>
      <w:r>
        <w:lastRenderedPageBreak/>
        <w:t xml:space="preserve">I figur 2 ser vi antall møtt fra 2011-2013 fordelt på utdanningsområder. </w:t>
      </w:r>
      <w:r w:rsidR="002536C3">
        <w:t xml:space="preserve">I </w:t>
      </w:r>
      <w:r w:rsidR="00193137">
        <w:t>vedlegg 2</w:t>
      </w:r>
      <w:r w:rsidR="002536C3">
        <w:rPr>
          <w:b/>
        </w:rPr>
        <w:t>, «</w:t>
      </w:r>
      <w:r w:rsidR="002536C3">
        <w:t xml:space="preserve">Grafisk framstilling av studieprogramporteføljen», er det oversikt over hvilke utdanningsområder de ulike studieprogrammene sorterer under. </w:t>
      </w:r>
      <w:r>
        <w:t xml:space="preserve">Her ser vi at det innen </w:t>
      </w:r>
      <w:r w:rsidRPr="002356F8">
        <w:rPr>
          <w:i/>
        </w:rPr>
        <w:t>Mediefag og kommunikasjon – Estetiske fag, kunst- og musikkfag</w:t>
      </w:r>
      <w:r>
        <w:t xml:space="preserve"> og </w:t>
      </w:r>
      <w:r w:rsidRPr="002356F8">
        <w:rPr>
          <w:i/>
        </w:rPr>
        <w:t>Medisin, helse- og sosialfag</w:t>
      </w:r>
      <w:r>
        <w:t xml:space="preserve"> ligger stabilt. Dette innebærer en relativ nedgang da totalantallet møtt har økt. Det er bare innen </w:t>
      </w:r>
      <w:r w:rsidRPr="009D6A7B">
        <w:rPr>
          <w:i/>
        </w:rPr>
        <w:t>Språk og litteratur</w:t>
      </w:r>
      <w:r>
        <w:t xml:space="preserve"> at vi ser en nedgang. Nedgangen innen </w:t>
      </w:r>
      <w:r w:rsidRPr="002356F8">
        <w:rPr>
          <w:i/>
        </w:rPr>
        <w:t>Idrettsfag – Samfunnsfag og psykologi</w:t>
      </w:r>
      <w:r>
        <w:t xml:space="preserve"> skyldes den nevnte overgangsordningen i 2011 inne</w:t>
      </w:r>
      <w:r w:rsidR="009D6A7B">
        <w:t>n</w:t>
      </w:r>
      <w:r>
        <w:t xml:space="preserve"> profesjonsstudiet i psykol</w:t>
      </w:r>
      <w:r w:rsidR="00C609EB">
        <w:t>o</w:t>
      </w:r>
      <w:r>
        <w:t xml:space="preserve">gi. </w:t>
      </w:r>
      <w:r w:rsidR="00BD2BDC" w:rsidRPr="00601503">
        <w:rPr>
          <w:szCs w:val="24"/>
        </w:rPr>
        <w:t>Da var det overgang fra 5-årig til 6-årig program og dermed dobbelt opptak i overgangsåret. Samtidig ble det slutt på opptaket til det 1-årige introduksjonsstudiet. I 2012 var vi tilbake til normaltilstand, med opptak bare til ett pro</w:t>
      </w:r>
      <w:r w:rsidR="00BD2BDC">
        <w:rPr>
          <w:szCs w:val="24"/>
        </w:rPr>
        <w:t>gram</w:t>
      </w:r>
      <w:r w:rsidR="00BD2BDC" w:rsidRPr="00601503">
        <w:rPr>
          <w:szCs w:val="24"/>
        </w:rPr>
        <w:t>.</w:t>
      </w:r>
      <w:r w:rsidR="00BD2BDC">
        <w:rPr>
          <w:szCs w:val="24"/>
        </w:rPr>
        <w:t xml:space="preserve"> </w:t>
      </w:r>
      <w:r>
        <w:t xml:space="preserve">Vi ser også en nedgang på antall møtt fra 2012 til 2013 innen </w:t>
      </w:r>
      <w:r w:rsidRPr="002356F8">
        <w:rPr>
          <w:i/>
        </w:rPr>
        <w:t>Lærer og lektorutdanning – Pedagogiske fag</w:t>
      </w:r>
      <w:r>
        <w:t xml:space="preserve">. Dette skyldes at </w:t>
      </w:r>
      <w:r w:rsidR="001E52F8">
        <w:t>de tre teknologiske</w:t>
      </w:r>
      <w:r>
        <w:t xml:space="preserve"> studieretningene innen yrkesfaglærerutdanning ble avlyst i 2013. </w:t>
      </w:r>
    </w:p>
    <w:p w:rsidR="00A206EC" w:rsidRDefault="00A206EC" w:rsidP="00A206EC">
      <w:pPr>
        <w:spacing w:after="240"/>
        <w:jc w:val="both"/>
      </w:pPr>
      <w:r>
        <w:t>Det kommer fram i fordelingen av antall møtt på utdanningsområder at NTNUs hovedprofil naturlig nok gjenspeiles i antall studenter. Viktigere er det at dette gir en indikasjon på i hvilken grad NTNUs strategi blir oppfylt. De største økningene har vært innen realfag, lærerutdanning og teknologisk utdanning. Dette er i stor grad</w:t>
      </w:r>
      <w:r w:rsidR="001C080B">
        <w:t xml:space="preserve"> i</w:t>
      </w:r>
      <w:r>
        <w:t xml:space="preserve"> t</w:t>
      </w:r>
      <w:r w:rsidR="00A23D6D">
        <w:t xml:space="preserve">råd med KDs forventninger og </w:t>
      </w:r>
      <w:r>
        <w:t xml:space="preserve">føringene i NTNUs sentrale strategi. Det samme gjelder at vi også i stor grad beholder den bredden som er etablert, men at det her er en relativ nedgang. </w:t>
      </w:r>
    </w:p>
    <w:p w:rsidR="00623533" w:rsidRDefault="009E7C7B" w:rsidP="009E7C7B">
      <w:pPr>
        <w:spacing w:after="240"/>
        <w:ind w:right="-11"/>
        <w:jc w:val="both"/>
      </w:pPr>
      <w:r>
        <w:rPr>
          <w:noProof/>
        </w:rPr>
        <w:drawing>
          <wp:inline distT="0" distB="0" distL="0" distR="0" wp14:anchorId="2015B7E9">
            <wp:extent cx="5867400" cy="5040086"/>
            <wp:effectExtent l="0" t="0" r="0" b="825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759" cy="5047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9A8" w:rsidRDefault="00B50469" w:rsidP="001B49A8">
      <w:pPr>
        <w:spacing w:after="240"/>
        <w:jc w:val="both"/>
      </w:pPr>
      <w:r w:rsidRPr="00B50469">
        <w:rPr>
          <w:i/>
        </w:rPr>
        <w:t>figur 2</w:t>
      </w:r>
      <w:r>
        <w:t xml:space="preserve"> </w:t>
      </w:r>
      <w:r>
        <w:rPr>
          <w:i/>
        </w:rPr>
        <w:t>(tall hentet fra DBH med korrigering for duplikatregistreringer på PPU og FPPU)</w:t>
      </w:r>
    </w:p>
    <w:p w:rsidR="00ED5221" w:rsidRPr="002E5343" w:rsidRDefault="00C90E32" w:rsidP="005F1738">
      <w:pPr>
        <w:spacing w:before="240"/>
        <w:jc w:val="both"/>
      </w:pPr>
      <w:r>
        <w:lastRenderedPageBreak/>
        <w:t>I tabell 1</w:t>
      </w:r>
      <w:r w:rsidR="005E64B7" w:rsidRPr="002E5343">
        <w:t xml:space="preserve"> ser vi faktisk opptak </w:t>
      </w:r>
      <w:r w:rsidR="00E11B36">
        <w:t>for period</w:t>
      </w:r>
      <w:r w:rsidR="002E5343" w:rsidRPr="002E5343">
        <w:t>en 2011</w:t>
      </w:r>
      <w:r w:rsidR="008F3FAC" w:rsidRPr="002E5343">
        <w:t>-</w:t>
      </w:r>
      <w:r w:rsidR="00B7265B" w:rsidRPr="002E5343">
        <w:t xml:space="preserve"> 20</w:t>
      </w:r>
      <w:r w:rsidR="005E64B7" w:rsidRPr="002E5343">
        <w:t>1</w:t>
      </w:r>
      <w:r w:rsidR="002E5343" w:rsidRPr="002E5343">
        <w:t>3</w:t>
      </w:r>
      <w:r w:rsidR="008F3FAC" w:rsidRPr="002E5343">
        <w:t>,</w:t>
      </w:r>
      <w:r w:rsidR="005E64B7" w:rsidRPr="002E5343">
        <w:t xml:space="preserve"> gitt med tall</w:t>
      </w:r>
      <w:r w:rsidR="008F3FAC" w:rsidRPr="002E5343">
        <w:t xml:space="preserve"> for dem som har møtt til studier og registrert seg.</w:t>
      </w:r>
      <w:r w:rsidR="005E64B7" w:rsidRPr="002E5343">
        <w:t xml:space="preserve"> </w:t>
      </w:r>
      <w:r w:rsidR="007449CD" w:rsidRPr="002E5343">
        <w:t>Tallene for</w:t>
      </w:r>
      <w:r w:rsidR="00915A77" w:rsidRPr="002E5343">
        <w:t xml:space="preserve"> møtt er for hele året, sum</w:t>
      </w:r>
      <w:r w:rsidR="007449CD" w:rsidRPr="002E5343">
        <w:t xml:space="preserve"> av vår- og høstsemes</w:t>
      </w:r>
      <w:r w:rsidR="00915A77" w:rsidRPr="002E5343">
        <w:t>ter</w:t>
      </w:r>
      <w:r>
        <w:t>.</w:t>
      </w:r>
      <w:r w:rsidR="006B4BE4">
        <w:t xml:space="preserve"> I tillegg er fordelingen av årets opptaksramme vist per utdanningsområde. </w:t>
      </w:r>
    </w:p>
    <w:p w:rsidR="00270D92" w:rsidRDefault="00270D92" w:rsidP="00270D92">
      <w:pPr>
        <w:spacing w:before="240"/>
        <w:jc w:val="both"/>
        <w:rPr>
          <w:szCs w:val="24"/>
        </w:rPr>
      </w:pPr>
      <w:bookmarkStart w:id="7" w:name="OLE_LINK7"/>
      <w:bookmarkStart w:id="8" w:name="OLE_LINK8"/>
      <w:r>
        <w:rPr>
          <w:szCs w:val="24"/>
        </w:rPr>
        <w:t xml:space="preserve">Selv om det fra 2011 til 2013 har vært en nedgang innen bachelorprogrammene ser vi at det innen utdanningsområdene </w:t>
      </w:r>
      <w:r w:rsidRPr="009D3EF4">
        <w:rPr>
          <w:i/>
          <w:szCs w:val="24"/>
        </w:rPr>
        <w:t>Informasjonsteknologi og informatikk – Matematikk og naturfag</w:t>
      </w:r>
      <w:r>
        <w:rPr>
          <w:szCs w:val="24"/>
        </w:rPr>
        <w:t xml:space="preserve"> og </w:t>
      </w:r>
      <w:r w:rsidRPr="009D3EF4">
        <w:rPr>
          <w:i/>
          <w:szCs w:val="24"/>
        </w:rPr>
        <w:t xml:space="preserve">Økonomi og administrasjon </w:t>
      </w:r>
      <w:r>
        <w:rPr>
          <w:szCs w:val="24"/>
        </w:rPr>
        <w:t>har vært en økning. Nedgangen sprer seg relativt jevnt på de resterende utdanningsområder som har bachelorprogram.</w:t>
      </w:r>
      <w:r w:rsidR="002A597C">
        <w:rPr>
          <w:szCs w:val="24"/>
        </w:rPr>
        <w:t xml:space="preserve"> </w:t>
      </w:r>
      <w:r>
        <w:rPr>
          <w:szCs w:val="24"/>
        </w:rPr>
        <w:t xml:space="preserve">Økningen innen 5-årig masterprogram fra 2011-2013 er i hovedsak </w:t>
      </w:r>
      <w:r w:rsidR="00C403E7">
        <w:rPr>
          <w:szCs w:val="24"/>
        </w:rPr>
        <w:t>innen sivilingeniørutdanningen, men d</w:t>
      </w:r>
      <w:r>
        <w:rPr>
          <w:szCs w:val="24"/>
        </w:rPr>
        <w:t xml:space="preserve">et er også en økning innen 2-årige program. Dette er i tråd med de nye studieplassene gitt i revidert nasjonalbudsjett i 2011 og 2012. </w:t>
      </w:r>
    </w:p>
    <w:p w:rsidR="003F2654" w:rsidRDefault="003F2654" w:rsidP="00270D92">
      <w:pPr>
        <w:spacing w:before="240"/>
        <w:jc w:val="both"/>
      </w:pPr>
      <w:r>
        <w:t>Det er satt</w:t>
      </w:r>
      <w:r w:rsidRPr="0000287A">
        <w:t xml:space="preserve"> av en </w:t>
      </w:r>
      <w:r>
        <w:t xml:space="preserve">ufordelt ramme per fakultet. Denne vises summert som «Ufordelt – NTNU». Det er en egen ufordelt ramme for sivilingeniørstudiene. </w:t>
      </w:r>
      <w:r w:rsidRPr="00B96A68">
        <w:t>Det gir en fleksibilitet i opptaksprosessen som gjør at vi kan justere tilbudene om studieplass til søkerne på de enkelte programmene ut fra søkertall og søkernes kvalifika</w:t>
      </w:r>
      <w:r w:rsidRPr="00B96A68">
        <w:softHyphen/>
        <w:t>sjoner</w:t>
      </w:r>
      <w:r>
        <w:t>.</w:t>
      </w:r>
    </w:p>
    <w:p w:rsidR="00270D92" w:rsidRPr="00F461CE" w:rsidRDefault="00270D92" w:rsidP="00270D92">
      <w:pPr>
        <w:spacing w:before="240"/>
        <w:jc w:val="both"/>
        <w:rPr>
          <w:szCs w:val="24"/>
        </w:rPr>
      </w:pPr>
      <w:r w:rsidRPr="00F461CE">
        <w:rPr>
          <w:szCs w:val="24"/>
        </w:rPr>
        <w:t>Et forhold kommer ikke fram i denne oversikten er de internasjonale utvekslingsstudentene, de som ikke søker seg inn, og som er ved NTNU i ett eller som regel maksimalt to semester. De kommer ikke fram i våre registertall. Det gjør imidlertid de studentene NTNU sender ut som sine utvekslingsstudenter. Fram til nå har de to gruppene stort sett vært i balanse med hver</w:t>
      </w:r>
      <w:r w:rsidRPr="00F461CE">
        <w:rPr>
          <w:szCs w:val="24"/>
        </w:rPr>
        <w:softHyphen/>
        <w:t>andre, slik at det ikke virker inn i noen avgjørende grad på den totale studentkapasiteten ved NTNU</w:t>
      </w:r>
      <w:r w:rsidR="00B96A68">
        <w:rPr>
          <w:szCs w:val="24"/>
        </w:rPr>
        <w:t>.</w:t>
      </w:r>
    </w:p>
    <w:p w:rsidR="00825C74" w:rsidRDefault="00825C74" w:rsidP="004D5023">
      <w:pPr>
        <w:spacing w:before="60" w:after="120"/>
        <w:rPr>
          <w:rFonts w:ascii="Arial" w:hAnsi="Arial" w:cs="Arial"/>
          <w:b/>
          <w:sz w:val="22"/>
          <w:szCs w:val="22"/>
        </w:rPr>
      </w:pPr>
    </w:p>
    <w:p w:rsidR="000908DD" w:rsidRPr="00CB1EFB" w:rsidRDefault="004D5023" w:rsidP="00825C74">
      <w:pPr>
        <w:spacing w:before="60" w:after="120" w:line="360" w:lineRule="auto"/>
        <w:rPr>
          <w:rFonts w:ascii="Arial" w:hAnsi="Arial" w:cs="Arial"/>
          <w:b/>
          <w:sz w:val="22"/>
          <w:szCs w:val="22"/>
        </w:rPr>
      </w:pPr>
      <w:r w:rsidRPr="00CB1EFB">
        <w:rPr>
          <w:rFonts w:ascii="Arial" w:hAnsi="Arial" w:cs="Arial"/>
          <w:b/>
          <w:sz w:val="22"/>
          <w:szCs w:val="22"/>
        </w:rPr>
        <w:lastRenderedPageBreak/>
        <w:t>Tabel</w:t>
      </w:r>
      <w:r w:rsidR="002321F5">
        <w:rPr>
          <w:rFonts w:ascii="Arial" w:hAnsi="Arial" w:cs="Arial"/>
          <w:b/>
          <w:sz w:val="22"/>
          <w:szCs w:val="22"/>
        </w:rPr>
        <w:t xml:space="preserve">l 1, </w:t>
      </w:r>
      <w:r w:rsidR="00181629">
        <w:rPr>
          <w:rFonts w:ascii="Arial" w:hAnsi="Arial" w:cs="Arial"/>
          <w:b/>
          <w:sz w:val="22"/>
          <w:szCs w:val="22"/>
        </w:rPr>
        <w:t>Møtt</w:t>
      </w:r>
      <w:r w:rsidRPr="00CB1EFB">
        <w:rPr>
          <w:rFonts w:ascii="Arial" w:hAnsi="Arial" w:cs="Arial"/>
          <w:b/>
          <w:sz w:val="22"/>
          <w:szCs w:val="22"/>
        </w:rPr>
        <w:t xml:space="preserve"> i perioden 20</w:t>
      </w:r>
      <w:r w:rsidR="00CB1EFB" w:rsidRPr="00CB1EFB">
        <w:rPr>
          <w:rFonts w:ascii="Arial" w:hAnsi="Arial" w:cs="Arial"/>
          <w:b/>
          <w:sz w:val="22"/>
          <w:szCs w:val="22"/>
        </w:rPr>
        <w:t>11-13</w:t>
      </w:r>
      <w:r w:rsidR="00181629">
        <w:rPr>
          <w:rFonts w:ascii="Arial" w:hAnsi="Arial" w:cs="Arial"/>
          <w:b/>
          <w:sz w:val="22"/>
          <w:szCs w:val="22"/>
        </w:rPr>
        <w:t xml:space="preserve"> og opptaksramme for 2014</w:t>
      </w:r>
      <w:r w:rsidRPr="00CB1EFB">
        <w:rPr>
          <w:rFonts w:ascii="Arial" w:hAnsi="Arial" w:cs="Arial"/>
          <w:b/>
          <w:sz w:val="22"/>
          <w:szCs w:val="22"/>
        </w:rPr>
        <w:t xml:space="preserve"> </w:t>
      </w:r>
      <w:bookmarkEnd w:id="7"/>
      <w:bookmarkEnd w:id="8"/>
      <w:r w:rsidR="00FB5280" w:rsidRPr="00FB5280">
        <w:rPr>
          <w:noProof/>
        </w:rPr>
        <w:drawing>
          <wp:inline distT="0" distB="0" distL="0" distR="0" wp14:anchorId="79E21BD5" wp14:editId="7252B1F6">
            <wp:extent cx="5471622" cy="814251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547" cy="81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06" w:rsidRDefault="00DC4D06" w:rsidP="003F2654">
      <w:pPr>
        <w:pStyle w:val="Overskrift4"/>
        <w:spacing w:before="480"/>
        <w:rPr>
          <w:rFonts w:ascii="Arial" w:hAnsi="Arial" w:cs="Arial"/>
          <w:sz w:val="24"/>
          <w:szCs w:val="24"/>
        </w:rPr>
      </w:pPr>
    </w:p>
    <w:p w:rsidR="009F043D" w:rsidRPr="00B96A68" w:rsidRDefault="00BB57AC" w:rsidP="003F2654">
      <w:pPr>
        <w:pStyle w:val="Overskrift4"/>
        <w:spacing w:before="480"/>
      </w:pPr>
      <w:r w:rsidRPr="003D528F">
        <w:rPr>
          <w:rFonts w:ascii="Arial" w:hAnsi="Arial" w:cs="Arial"/>
          <w:sz w:val="24"/>
          <w:szCs w:val="24"/>
        </w:rPr>
        <w:t>Fakultetenes forslag til opptaksramme med justeringer</w:t>
      </w:r>
    </w:p>
    <w:p w:rsidR="00326118" w:rsidRPr="00B66BDF" w:rsidRDefault="005A5DC3" w:rsidP="009F043D">
      <w:pPr>
        <w:spacing w:after="240"/>
        <w:jc w:val="both"/>
        <w:rPr>
          <w:szCs w:val="22"/>
        </w:rPr>
      </w:pPr>
      <w:r>
        <w:rPr>
          <w:szCs w:val="22"/>
        </w:rPr>
        <w:t xml:space="preserve">Nedjusteringen fra </w:t>
      </w:r>
      <w:r w:rsidR="009B5B60">
        <w:rPr>
          <w:szCs w:val="22"/>
        </w:rPr>
        <w:t>73</w:t>
      </w:r>
      <w:r w:rsidR="007C27B1">
        <w:rPr>
          <w:szCs w:val="22"/>
        </w:rPr>
        <w:t>34</w:t>
      </w:r>
      <w:r w:rsidR="00B85323">
        <w:rPr>
          <w:szCs w:val="22"/>
        </w:rPr>
        <w:t xml:space="preserve"> til 7320</w:t>
      </w:r>
      <w:r>
        <w:rPr>
          <w:szCs w:val="22"/>
        </w:rPr>
        <w:t xml:space="preserve"> er fordelt mellom HF og SVT. </w:t>
      </w:r>
      <w:r w:rsidR="009F043D" w:rsidRPr="0000287A">
        <w:t xml:space="preserve">Det er derfor ikke behov for en detaljert gjennomgang av fakultetenes forslag. </w:t>
      </w:r>
      <w:r>
        <w:rPr>
          <w:szCs w:val="22"/>
        </w:rPr>
        <w:t>Der det fremkommer større justeringer er plasser flyttet over til ufordelte plasser på fakultetene. Disse justeringene er foretatt i samråd med fakultetene slik at de beholder fleksibiliteten under opptaket.</w:t>
      </w:r>
      <w:r w:rsidR="00855021">
        <w:rPr>
          <w:szCs w:val="22"/>
        </w:rPr>
        <w:t xml:space="preserve"> Til forskjell fra tidligere er derimot denne opptaksbufferen nedjustert for HF, SVT og sivilingeniørutdanningene. Dette gir seg utslag i at det på enkelte nivå kan virke som </w:t>
      </w:r>
      <w:r w:rsidR="00F00C55">
        <w:rPr>
          <w:szCs w:val="22"/>
        </w:rPr>
        <w:t xml:space="preserve">en nedgang i antall studieplasser. </w:t>
      </w:r>
      <w:r w:rsidR="00B66BDF">
        <w:rPr>
          <w:szCs w:val="22"/>
        </w:rPr>
        <w:t xml:space="preserve">Det er likevel en større økning innen utdanningsområdet </w:t>
      </w:r>
      <w:r w:rsidR="002356F8">
        <w:rPr>
          <w:i/>
          <w:szCs w:val="22"/>
        </w:rPr>
        <w:t>Mediefag og kommunikasjon</w:t>
      </w:r>
      <w:r w:rsidR="00E855B5">
        <w:rPr>
          <w:i/>
          <w:szCs w:val="22"/>
        </w:rPr>
        <w:t>.-</w:t>
      </w:r>
      <w:r w:rsidR="00B66BDF">
        <w:rPr>
          <w:i/>
          <w:szCs w:val="22"/>
        </w:rPr>
        <w:t>Estetiske fag, kunst- og musikkfag.</w:t>
      </w:r>
      <w:r w:rsidR="00B66BDF">
        <w:rPr>
          <w:szCs w:val="22"/>
        </w:rPr>
        <w:t xml:space="preserve"> Årsaken er at det er innen dette utdanningsområdet de 5 nye årsstudiene ved HF blir sortert under.</w:t>
      </w:r>
    </w:p>
    <w:p w:rsidR="00855021" w:rsidRDefault="00855021" w:rsidP="004D5023">
      <w:pPr>
        <w:spacing w:before="120" w:after="120"/>
        <w:rPr>
          <w:szCs w:val="22"/>
        </w:rPr>
      </w:pPr>
    </w:p>
    <w:p w:rsidR="001C331A" w:rsidRPr="005A5DC3" w:rsidRDefault="001273BF" w:rsidP="00D956D5">
      <w:pPr>
        <w:spacing w:before="120" w:after="120"/>
        <w:contextualSpacing/>
        <w:rPr>
          <w:szCs w:val="22"/>
        </w:rPr>
      </w:pPr>
      <w:r>
        <w:rPr>
          <w:noProof/>
          <w:szCs w:val="22"/>
        </w:rPr>
        <w:drawing>
          <wp:inline distT="0" distB="0" distL="0" distR="0" wp14:anchorId="7A0EE0DD">
            <wp:extent cx="6161315" cy="414097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69" cy="4145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23C" w:rsidRDefault="0026623C" w:rsidP="00D956D5">
      <w:pPr>
        <w:spacing w:before="360" w:after="60"/>
        <w:contextualSpacing/>
        <w:rPr>
          <w:i/>
        </w:rPr>
      </w:pPr>
    </w:p>
    <w:p w:rsidR="00D956D5" w:rsidRDefault="00D956D5" w:rsidP="00DA55AE">
      <w:pPr>
        <w:spacing w:before="360" w:after="60"/>
        <w:contextualSpacing/>
        <w:rPr>
          <w:i/>
        </w:rPr>
      </w:pPr>
      <w:r w:rsidRPr="00D956D5">
        <w:rPr>
          <w:i/>
        </w:rPr>
        <w:t>figur 3.</w:t>
      </w:r>
      <w:r w:rsidR="006F3161">
        <w:rPr>
          <w:i/>
        </w:rPr>
        <w:t xml:space="preserve"> De ufordelte plassene på siv.ing. fordeles på sivilingeniørstudiene og vil dermed bli fordelt på flere fakultet.</w:t>
      </w:r>
    </w:p>
    <w:p w:rsidR="006F3161" w:rsidRPr="00D956D5" w:rsidRDefault="006F3161" w:rsidP="00DA55AE">
      <w:pPr>
        <w:spacing w:before="360" w:after="60"/>
        <w:contextualSpacing/>
      </w:pPr>
    </w:p>
    <w:p w:rsidR="00D956D5" w:rsidRDefault="00D956D5" w:rsidP="00D956D5">
      <w:pPr>
        <w:spacing w:before="120" w:after="120"/>
        <w:rPr>
          <w:szCs w:val="22"/>
        </w:rPr>
      </w:pPr>
      <w:r>
        <w:rPr>
          <w:szCs w:val="22"/>
        </w:rPr>
        <w:t>Alle fakultet øker rammen i forhold til studieåret 2013/14, med unntak av AB og SVT. For AB er dette på grunn av at de har opptak bare hvert andre år på enkelte av sine 2-årige internasjonale program. Dette er relativt få plasser. Nedgangen ved SVT skyldes i hovedsak overføringen av bachelor- og masterprogrammet i Bevegelsesvitenskap til DMF.</w:t>
      </w:r>
    </w:p>
    <w:p w:rsidR="00AC61EC" w:rsidRDefault="00AC61EC" w:rsidP="00D956D5">
      <w:pPr>
        <w:spacing w:before="120" w:after="120"/>
        <w:rPr>
          <w:szCs w:val="22"/>
        </w:rPr>
      </w:pPr>
    </w:p>
    <w:p w:rsidR="0021530D" w:rsidRDefault="00AC524C" w:rsidP="00DC4D06">
      <w:pPr>
        <w:pStyle w:val="Overskrift4"/>
        <w:rPr>
          <w:szCs w:val="22"/>
        </w:rPr>
      </w:pPr>
      <w:r w:rsidRPr="00DC4D06">
        <w:rPr>
          <w:rFonts w:ascii="Arial" w:hAnsi="Arial" w:cs="Arial"/>
        </w:rPr>
        <w:t>Trinndelte norskkurs</w:t>
      </w:r>
    </w:p>
    <w:p w:rsidR="0021530D" w:rsidRPr="006F3CC8" w:rsidRDefault="0021530D" w:rsidP="0021530D">
      <w:pPr>
        <w:spacing w:after="120"/>
        <w:jc w:val="both"/>
      </w:pPr>
      <w:r w:rsidRPr="006F3CC8">
        <w:t xml:space="preserve">Opptaket </w:t>
      </w:r>
      <w:r>
        <w:t xml:space="preserve">til de trinndelte norskkursene </w:t>
      </w:r>
      <w:r w:rsidRPr="006F3CC8">
        <w:t>gjennomføres uav</w:t>
      </w:r>
      <w:r w:rsidRPr="006F3CC8">
        <w:softHyphen/>
        <w:t>hengig av opptakene til grunn</w:t>
      </w:r>
      <w:r w:rsidRPr="006F3CC8">
        <w:softHyphen/>
        <w:t>utdanning og til h</w:t>
      </w:r>
      <w:r>
        <w:t xml:space="preserve">øyere grads utdanning ved NTNU. </w:t>
      </w:r>
      <w:r w:rsidRPr="006F3CC8">
        <w:t>Opptaks</w:t>
      </w:r>
      <w:r w:rsidRPr="006F3CC8">
        <w:softHyphen/>
        <w:t>rammen f</w:t>
      </w:r>
      <w:r>
        <w:t>or de trinndelte norskkursene er</w:t>
      </w:r>
      <w:r w:rsidR="00F01E88">
        <w:t xml:space="preserve"> for studieåret 2014/15 på</w:t>
      </w:r>
      <w:r>
        <w:t xml:space="preserve"> 1230 plasser. I tillegg til disse kommer det plasser på </w:t>
      </w:r>
      <w:r>
        <w:lastRenderedPageBreak/>
        <w:t>sommerkurs. Plassene på sommerkurs er avhengig av EU-midler og endelig ramme der er per nå ikke klar. Rektor</w:t>
      </w:r>
      <w:r w:rsidR="00DB7C50">
        <w:t xml:space="preserve"> får fullmakt til å sette endelig fordeling. De 1230 plassene til de trinndelte kursene fordeles på </w:t>
      </w:r>
      <w:r>
        <w:t>615 vår og 615 høst. 300 plasser settes hvert semester av til NTNU-søkere med finansiering. Disse søkerne har krav på plass, og skal derfor ikke konkurrere i opptaket. Øvrige 315 plasser fordeles slik, både høst 2014 og vår 2015:</w:t>
      </w:r>
      <w:r w:rsidRPr="006F3CC8">
        <w:t xml:space="preserve"> </w:t>
      </w:r>
    </w:p>
    <w:p w:rsidR="0021530D" w:rsidRPr="006F3CC8" w:rsidRDefault="0021530D" w:rsidP="0021530D">
      <w:pPr>
        <w:pStyle w:val="Liste"/>
        <w:numPr>
          <w:ilvl w:val="1"/>
          <w:numId w:val="3"/>
        </w:numPr>
        <w:spacing w:before="60"/>
        <w:jc w:val="both"/>
      </w:pPr>
      <w:r w:rsidRPr="006F3CC8">
        <w:t>95 på kortkurs, som er bare for søkere med NTNU-tilknytning.</w:t>
      </w:r>
    </w:p>
    <w:p w:rsidR="0021530D" w:rsidRPr="006F3CC8" w:rsidRDefault="0021530D" w:rsidP="0021530D">
      <w:pPr>
        <w:pStyle w:val="Liste"/>
        <w:numPr>
          <w:ilvl w:val="1"/>
          <w:numId w:val="3"/>
        </w:numPr>
        <w:spacing w:before="60"/>
        <w:jc w:val="both"/>
      </w:pPr>
      <w:r w:rsidRPr="006F3CC8">
        <w:t>200 på trinndelte kurs – fordelt med 145 i kvote for søkere med NTNU-tilknytning (trinn 1, 2, 3) og 55 i kvote for søkere uten NTNU-tilknytning (trinn 2, 3).</w:t>
      </w:r>
    </w:p>
    <w:p w:rsidR="0021530D" w:rsidRPr="0065246B" w:rsidRDefault="0021530D" w:rsidP="0021530D">
      <w:pPr>
        <w:numPr>
          <w:ilvl w:val="1"/>
          <w:numId w:val="3"/>
        </w:numPr>
        <w:spacing w:after="120"/>
        <w:jc w:val="both"/>
      </w:pPr>
      <w:r w:rsidRPr="006F3CC8">
        <w:t>20 på trinn 4, ingen kvoter</w:t>
      </w:r>
    </w:p>
    <w:p w:rsidR="0021530D" w:rsidRDefault="0021530D" w:rsidP="00D956D5">
      <w:pPr>
        <w:spacing w:before="120" w:after="120"/>
        <w:rPr>
          <w:szCs w:val="22"/>
        </w:rPr>
      </w:pPr>
    </w:p>
    <w:p w:rsidR="00F01E88" w:rsidRDefault="00F01E88" w:rsidP="00D956D5">
      <w:pPr>
        <w:spacing w:before="120" w:after="120"/>
        <w:rPr>
          <w:szCs w:val="22"/>
        </w:rPr>
      </w:pPr>
      <w:r>
        <w:rPr>
          <w:szCs w:val="22"/>
        </w:rPr>
        <w:t>For høstsemesteret 2013 var det 911 kvalifiserte søkere til 615 plasser. Det ble</w:t>
      </w:r>
      <w:r w:rsidR="000E3B25">
        <w:rPr>
          <w:szCs w:val="22"/>
        </w:rPr>
        <w:t xml:space="preserve"> totalt</w:t>
      </w:r>
      <w:r>
        <w:rPr>
          <w:szCs w:val="22"/>
        </w:rPr>
        <w:t xml:space="preserve"> sendt ut 856 tilbud og </w:t>
      </w:r>
      <w:r w:rsidR="000E3B25">
        <w:rPr>
          <w:szCs w:val="22"/>
        </w:rPr>
        <w:t>totalt 647</w:t>
      </w:r>
      <w:r>
        <w:rPr>
          <w:szCs w:val="22"/>
        </w:rPr>
        <w:t xml:space="preserve"> takket ja til plass. Det var totalt 55 på venteliste.</w:t>
      </w:r>
      <w:r w:rsidR="001273BF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B814B4" w:rsidRDefault="00B814B4" w:rsidP="00B814B4">
      <w:pPr>
        <w:spacing w:after="120"/>
        <w:jc w:val="both"/>
      </w:pPr>
    </w:p>
    <w:p w:rsidR="00B814B4" w:rsidRDefault="00B814B4" w:rsidP="00B814B4">
      <w:pPr>
        <w:spacing w:after="120"/>
        <w:jc w:val="both"/>
      </w:pPr>
    </w:p>
    <w:p w:rsidR="00AD2D73" w:rsidRPr="00426639" w:rsidRDefault="00AD2D73" w:rsidP="00AD2D73">
      <w:pPr>
        <w:pBdr>
          <w:top w:val="single" w:sz="6" w:space="1" w:color="auto"/>
        </w:pBdr>
      </w:pPr>
    </w:p>
    <w:p w:rsidR="00B814B4" w:rsidRDefault="003D7BD6" w:rsidP="00B814B4">
      <w:pPr>
        <w:spacing w:after="120"/>
        <w:jc w:val="both"/>
      </w:pPr>
      <w:hyperlink r:id="rId13" w:history="1">
        <w:r w:rsidR="00B814B4" w:rsidRPr="003D7BD6">
          <w:rPr>
            <w:rStyle w:val="Hyperkobling"/>
          </w:rPr>
          <w:t>Vedlegg 1:</w:t>
        </w:r>
      </w:hyperlink>
      <w:r w:rsidR="00B814B4">
        <w:tab/>
        <w:t>Opptaksrammer for studieåret 2014/2015</w:t>
      </w:r>
    </w:p>
    <w:p w:rsidR="002C5902" w:rsidRDefault="003D7BD6" w:rsidP="00F76B98">
      <w:pPr>
        <w:spacing w:after="120"/>
        <w:jc w:val="both"/>
      </w:pPr>
      <w:hyperlink r:id="rId14" w:history="1">
        <w:r w:rsidR="002C5902" w:rsidRPr="003D7BD6">
          <w:rPr>
            <w:rStyle w:val="Hyperkobling"/>
          </w:rPr>
          <w:t>Vedlegg 2</w:t>
        </w:r>
        <w:r w:rsidR="00F76B98" w:rsidRPr="003D7BD6">
          <w:rPr>
            <w:rStyle w:val="Hyperkobling"/>
          </w:rPr>
          <w:t>:</w:t>
        </w:r>
      </w:hyperlink>
      <w:r w:rsidR="002C5902">
        <w:tab/>
        <w:t>Opptakstekniske føringer</w:t>
      </w:r>
      <w:r w:rsidR="00F76B98">
        <w:tab/>
      </w:r>
    </w:p>
    <w:p w:rsidR="00F76B98" w:rsidRDefault="003D7BD6" w:rsidP="00F76B98">
      <w:pPr>
        <w:spacing w:after="120"/>
        <w:jc w:val="both"/>
      </w:pPr>
      <w:hyperlink r:id="rId15" w:history="1">
        <w:r w:rsidR="002C5902" w:rsidRPr="003D7BD6">
          <w:rPr>
            <w:rStyle w:val="Hyperkobling"/>
          </w:rPr>
          <w:t>Vedlegg 3:</w:t>
        </w:r>
      </w:hyperlink>
      <w:r w:rsidR="002C5902">
        <w:tab/>
      </w:r>
      <w:r w:rsidR="00F76B98">
        <w:t>Grafisk framstilling av studieprogramporteføljen for 2014/15</w:t>
      </w:r>
    </w:p>
    <w:p w:rsidR="00B814B4" w:rsidRDefault="003D7BD6" w:rsidP="00F76B98">
      <w:pPr>
        <w:spacing w:after="120"/>
        <w:jc w:val="both"/>
      </w:pPr>
      <w:hyperlink r:id="rId16" w:history="1">
        <w:r w:rsidR="004B4299" w:rsidRPr="003D7BD6">
          <w:rPr>
            <w:rStyle w:val="Hyperkobling"/>
          </w:rPr>
          <w:t>Vedlegg 4:</w:t>
        </w:r>
      </w:hyperlink>
      <w:bookmarkStart w:id="9" w:name="_GoBack"/>
      <w:bookmarkEnd w:id="9"/>
      <w:r w:rsidR="004B4299">
        <w:tab/>
      </w:r>
      <w:r w:rsidR="00C7303A">
        <w:t>Tabell 2</w:t>
      </w:r>
      <w:r w:rsidR="00F33A87">
        <w:t xml:space="preserve">, </w:t>
      </w:r>
      <w:r w:rsidR="00270D92">
        <w:t>M</w:t>
      </w:r>
      <w:r w:rsidR="00F33A87">
        <w:t>øtt 2011-2013</w:t>
      </w:r>
      <w:r w:rsidR="00B814B4">
        <w:t xml:space="preserve"> </w:t>
      </w:r>
      <w:r w:rsidR="00270D92">
        <w:t xml:space="preserve">og opptaksramme for 2014 </w:t>
      </w:r>
      <w:r w:rsidR="00B814B4">
        <w:t>sortert på fakultet</w:t>
      </w:r>
    </w:p>
    <w:p w:rsidR="00AD2D73" w:rsidRPr="00426639" w:rsidRDefault="00AD2D73" w:rsidP="00AD2D73">
      <w:pPr>
        <w:tabs>
          <w:tab w:val="left" w:pos="567"/>
          <w:tab w:val="right" w:pos="9809"/>
        </w:tabs>
      </w:pPr>
    </w:p>
    <w:p w:rsidR="00AD2D73" w:rsidRPr="00426639" w:rsidRDefault="00AD2D73" w:rsidP="00AD2D73">
      <w:pPr>
        <w:pBdr>
          <w:top w:val="single" w:sz="6" w:space="1" w:color="auto"/>
        </w:pBdr>
      </w:pPr>
    </w:p>
    <w:p w:rsidR="00F33A87" w:rsidRDefault="00270D92" w:rsidP="00B814B4">
      <w:pPr>
        <w:spacing w:after="120"/>
        <w:jc w:val="both"/>
      </w:pPr>
      <w:r>
        <w:tab/>
      </w:r>
      <w:r>
        <w:tab/>
      </w:r>
    </w:p>
    <w:p w:rsidR="00B814B4" w:rsidRPr="00B814B4" w:rsidRDefault="00B814B4" w:rsidP="00B814B4">
      <w:pPr>
        <w:spacing w:after="120"/>
        <w:jc w:val="both"/>
      </w:pPr>
      <w:r>
        <w:tab/>
      </w:r>
      <w:r>
        <w:tab/>
      </w:r>
      <w:r>
        <w:tab/>
      </w:r>
    </w:p>
    <w:sectPr w:rsidR="00B814B4" w:rsidRPr="00B814B4" w:rsidSect="009D62B4">
      <w:footerReference w:type="even" r:id="rId17"/>
      <w:footerReference w:type="default" r:id="rId18"/>
      <w:pgSz w:w="11906" w:h="16838" w:code="9"/>
      <w:pgMar w:top="992" w:right="128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58" w:rsidRDefault="009A6F58">
      <w:r>
        <w:separator/>
      </w:r>
    </w:p>
  </w:endnote>
  <w:endnote w:type="continuationSeparator" w:id="0">
    <w:p w:rsidR="009A6F58" w:rsidRDefault="009A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58" w:rsidRDefault="009A6F58" w:rsidP="00BE010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A6F58" w:rsidRDefault="009A6F58" w:rsidP="0046306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58" w:rsidRDefault="009A6F58" w:rsidP="00BE010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D7BD6">
      <w:rPr>
        <w:rStyle w:val="Sidetall"/>
        <w:noProof/>
      </w:rPr>
      <w:t>8</w:t>
    </w:r>
    <w:r>
      <w:rPr>
        <w:rStyle w:val="Sidetall"/>
      </w:rPr>
      <w:fldChar w:fldCharType="end"/>
    </w:r>
  </w:p>
  <w:p w:rsidR="009A6F58" w:rsidRDefault="009A6F58" w:rsidP="0046306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58" w:rsidRDefault="009A6F58">
      <w:r>
        <w:separator/>
      </w:r>
    </w:p>
  </w:footnote>
  <w:footnote w:type="continuationSeparator" w:id="0">
    <w:p w:rsidR="009A6F58" w:rsidRDefault="009A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386098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AC184F"/>
    <w:multiLevelType w:val="hybridMultilevel"/>
    <w:tmpl w:val="F82427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A619C"/>
    <w:multiLevelType w:val="hybridMultilevel"/>
    <w:tmpl w:val="EB466B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154C6"/>
    <w:multiLevelType w:val="hybridMultilevel"/>
    <w:tmpl w:val="15467A98"/>
    <w:lvl w:ilvl="0" w:tplc="AA2AA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317D9"/>
    <w:multiLevelType w:val="hybridMultilevel"/>
    <w:tmpl w:val="62A48F7E"/>
    <w:lvl w:ilvl="0" w:tplc="737E2BCC">
      <w:start w:val="1"/>
      <w:numFmt w:val="bullet"/>
      <w:pStyle w:val="Tilfe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315A9"/>
    <w:multiLevelType w:val="hybridMultilevel"/>
    <w:tmpl w:val="FEF0DD4E"/>
    <w:lvl w:ilvl="0" w:tplc="737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470FB"/>
    <w:multiLevelType w:val="hybridMultilevel"/>
    <w:tmpl w:val="80A6C048"/>
    <w:lvl w:ilvl="0" w:tplc="0DD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C18FB"/>
    <w:multiLevelType w:val="multilevel"/>
    <w:tmpl w:val="40B2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02618"/>
    <w:multiLevelType w:val="multilevel"/>
    <w:tmpl w:val="64D4A1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5359577D"/>
    <w:multiLevelType w:val="hybridMultilevel"/>
    <w:tmpl w:val="2E829D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4187A"/>
    <w:multiLevelType w:val="hybridMultilevel"/>
    <w:tmpl w:val="6D50F974"/>
    <w:lvl w:ilvl="0" w:tplc="68E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60E71"/>
    <w:multiLevelType w:val="hybridMultilevel"/>
    <w:tmpl w:val="D7764FC6"/>
    <w:lvl w:ilvl="0" w:tplc="68E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667532"/>
    <w:multiLevelType w:val="hybridMultilevel"/>
    <w:tmpl w:val="8318ABA6"/>
    <w:lvl w:ilvl="0" w:tplc="0DD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,Bold" w:eastAsia="TimesNewRoman,Bold" w:hAnsi="TimesNewRoman,Bold" w:cs="TimesNewRoman,Bold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740E43"/>
    <w:multiLevelType w:val="hybridMultilevel"/>
    <w:tmpl w:val="A2A066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6EAA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19"/>
    <w:rsid w:val="00002458"/>
    <w:rsid w:val="0000287A"/>
    <w:rsid w:val="00004863"/>
    <w:rsid w:val="0000511C"/>
    <w:rsid w:val="00011551"/>
    <w:rsid w:val="00015758"/>
    <w:rsid w:val="000169D5"/>
    <w:rsid w:val="0001785D"/>
    <w:rsid w:val="00017ACF"/>
    <w:rsid w:val="00020F74"/>
    <w:rsid w:val="000215DD"/>
    <w:rsid w:val="00026B02"/>
    <w:rsid w:val="00030A20"/>
    <w:rsid w:val="0003297F"/>
    <w:rsid w:val="000373C6"/>
    <w:rsid w:val="0004585C"/>
    <w:rsid w:val="00046E40"/>
    <w:rsid w:val="000507FF"/>
    <w:rsid w:val="00052690"/>
    <w:rsid w:val="00053A4D"/>
    <w:rsid w:val="000613A0"/>
    <w:rsid w:val="00061979"/>
    <w:rsid w:val="00081FA6"/>
    <w:rsid w:val="00083ACB"/>
    <w:rsid w:val="00084767"/>
    <w:rsid w:val="00086A96"/>
    <w:rsid w:val="000907DF"/>
    <w:rsid w:val="000908DD"/>
    <w:rsid w:val="00090E04"/>
    <w:rsid w:val="00091B65"/>
    <w:rsid w:val="000921DC"/>
    <w:rsid w:val="0009235A"/>
    <w:rsid w:val="00092F18"/>
    <w:rsid w:val="000940BC"/>
    <w:rsid w:val="00094C1D"/>
    <w:rsid w:val="0009548C"/>
    <w:rsid w:val="00097636"/>
    <w:rsid w:val="00097DD8"/>
    <w:rsid w:val="000A4319"/>
    <w:rsid w:val="000A66C6"/>
    <w:rsid w:val="000A6BD7"/>
    <w:rsid w:val="000B3494"/>
    <w:rsid w:val="000B4EDD"/>
    <w:rsid w:val="000C27C2"/>
    <w:rsid w:val="000C2CB5"/>
    <w:rsid w:val="000C2ED0"/>
    <w:rsid w:val="000C3231"/>
    <w:rsid w:val="000C48DC"/>
    <w:rsid w:val="000C7586"/>
    <w:rsid w:val="000D65C1"/>
    <w:rsid w:val="000E1D69"/>
    <w:rsid w:val="000E280F"/>
    <w:rsid w:val="000E3B25"/>
    <w:rsid w:val="000E5117"/>
    <w:rsid w:val="000E68E6"/>
    <w:rsid w:val="000F1E51"/>
    <w:rsid w:val="000F3BA1"/>
    <w:rsid w:val="000F4696"/>
    <w:rsid w:val="000F543C"/>
    <w:rsid w:val="00100525"/>
    <w:rsid w:val="00103114"/>
    <w:rsid w:val="001124C2"/>
    <w:rsid w:val="00115EFC"/>
    <w:rsid w:val="001208FF"/>
    <w:rsid w:val="00127042"/>
    <w:rsid w:val="001273BF"/>
    <w:rsid w:val="00136866"/>
    <w:rsid w:val="00140D3D"/>
    <w:rsid w:val="00142D76"/>
    <w:rsid w:val="00144387"/>
    <w:rsid w:val="00144A4E"/>
    <w:rsid w:val="00152593"/>
    <w:rsid w:val="00152745"/>
    <w:rsid w:val="001556BB"/>
    <w:rsid w:val="00157847"/>
    <w:rsid w:val="0016053A"/>
    <w:rsid w:val="00163A8E"/>
    <w:rsid w:val="00167E3D"/>
    <w:rsid w:val="001718C9"/>
    <w:rsid w:val="00181629"/>
    <w:rsid w:val="0018176C"/>
    <w:rsid w:val="00181929"/>
    <w:rsid w:val="001825B7"/>
    <w:rsid w:val="00184815"/>
    <w:rsid w:val="00191835"/>
    <w:rsid w:val="00193137"/>
    <w:rsid w:val="001935BF"/>
    <w:rsid w:val="00196F01"/>
    <w:rsid w:val="001A0EA7"/>
    <w:rsid w:val="001A1313"/>
    <w:rsid w:val="001B1C6C"/>
    <w:rsid w:val="001B4021"/>
    <w:rsid w:val="001B49A8"/>
    <w:rsid w:val="001C080B"/>
    <w:rsid w:val="001C331A"/>
    <w:rsid w:val="001C3FBE"/>
    <w:rsid w:val="001C651C"/>
    <w:rsid w:val="001C6977"/>
    <w:rsid w:val="001D0B5D"/>
    <w:rsid w:val="001D427A"/>
    <w:rsid w:val="001D4E56"/>
    <w:rsid w:val="001D681E"/>
    <w:rsid w:val="001D7F1F"/>
    <w:rsid w:val="001E2DC5"/>
    <w:rsid w:val="001E3365"/>
    <w:rsid w:val="001E35E0"/>
    <w:rsid w:val="001E4C5F"/>
    <w:rsid w:val="001E52F8"/>
    <w:rsid w:val="001E7AC0"/>
    <w:rsid w:val="001F0F74"/>
    <w:rsid w:val="001F30CB"/>
    <w:rsid w:val="001F6ED9"/>
    <w:rsid w:val="0020047D"/>
    <w:rsid w:val="0020111A"/>
    <w:rsid w:val="00203218"/>
    <w:rsid w:val="0021239E"/>
    <w:rsid w:val="0021530D"/>
    <w:rsid w:val="0021778F"/>
    <w:rsid w:val="00221CB8"/>
    <w:rsid w:val="00224921"/>
    <w:rsid w:val="00224E48"/>
    <w:rsid w:val="00224E73"/>
    <w:rsid w:val="002321F5"/>
    <w:rsid w:val="00233A01"/>
    <w:rsid w:val="002356F8"/>
    <w:rsid w:val="0023607C"/>
    <w:rsid w:val="00243CBC"/>
    <w:rsid w:val="00250409"/>
    <w:rsid w:val="00251888"/>
    <w:rsid w:val="00252216"/>
    <w:rsid w:val="002524BE"/>
    <w:rsid w:val="002536C3"/>
    <w:rsid w:val="00253E69"/>
    <w:rsid w:val="00256A29"/>
    <w:rsid w:val="00257BD8"/>
    <w:rsid w:val="00261938"/>
    <w:rsid w:val="002621FE"/>
    <w:rsid w:val="0026236D"/>
    <w:rsid w:val="00264530"/>
    <w:rsid w:val="0026623C"/>
    <w:rsid w:val="00270D92"/>
    <w:rsid w:val="00270D99"/>
    <w:rsid w:val="0027103F"/>
    <w:rsid w:val="002744EC"/>
    <w:rsid w:val="002766A6"/>
    <w:rsid w:val="00285023"/>
    <w:rsid w:val="00286EF7"/>
    <w:rsid w:val="00295B15"/>
    <w:rsid w:val="002A34B6"/>
    <w:rsid w:val="002A597C"/>
    <w:rsid w:val="002B0AF6"/>
    <w:rsid w:val="002B3EFD"/>
    <w:rsid w:val="002B44C9"/>
    <w:rsid w:val="002B44F1"/>
    <w:rsid w:val="002B5FD5"/>
    <w:rsid w:val="002C11D3"/>
    <w:rsid w:val="002C5902"/>
    <w:rsid w:val="002C7013"/>
    <w:rsid w:val="002C70AC"/>
    <w:rsid w:val="002D16F9"/>
    <w:rsid w:val="002D1F18"/>
    <w:rsid w:val="002D2C30"/>
    <w:rsid w:val="002D3C1B"/>
    <w:rsid w:val="002D42DB"/>
    <w:rsid w:val="002D6583"/>
    <w:rsid w:val="002E5343"/>
    <w:rsid w:val="002E6C04"/>
    <w:rsid w:val="002F7B03"/>
    <w:rsid w:val="002F7C1B"/>
    <w:rsid w:val="002F7C99"/>
    <w:rsid w:val="003006F9"/>
    <w:rsid w:val="0030185E"/>
    <w:rsid w:val="00301A74"/>
    <w:rsid w:val="00312C17"/>
    <w:rsid w:val="00314DD9"/>
    <w:rsid w:val="00316F3A"/>
    <w:rsid w:val="003229B5"/>
    <w:rsid w:val="0032422A"/>
    <w:rsid w:val="003256D9"/>
    <w:rsid w:val="00326118"/>
    <w:rsid w:val="00327249"/>
    <w:rsid w:val="003336B3"/>
    <w:rsid w:val="00340922"/>
    <w:rsid w:val="00347475"/>
    <w:rsid w:val="003529D3"/>
    <w:rsid w:val="00352ADA"/>
    <w:rsid w:val="00353B9E"/>
    <w:rsid w:val="00354CCE"/>
    <w:rsid w:val="00355006"/>
    <w:rsid w:val="0035603A"/>
    <w:rsid w:val="00357192"/>
    <w:rsid w:val="00360136"/>
    <w:rsid w:val="003609B0"/>
    <w:rsid w:val="00362508"/>
    <w:rsid w:val="0036509A"/>
    <w:rsid w:val="00367295"/>
    <w:rsid w:val="003673D9"/>
    <w:rsid w:val="003726C4"/>
    <w:rsid w:val="00373873"/>
    <w:rsid w:val="00373F74"/>
    <w:rsid w:val="003744F0"/>
    <w:rsid w:val="003774C5"/>
    <w:rsid w:val="00382BF5"/>
    <w:rsid w:val="003838D4"/>
    <w:rsid w:val="00384762"/>
    <w:rsid w:val="00386F0B"/>
    <w:rsid w:val="00387063"/>
    <w:rsid w:val="00387310"/>
    <w:rsid w:val="003912B6"/>
    <w:rsid w:val="003969DE"/>
    <w:rsid w:val="003A0BA9"/>
    <w:rsid w:val="003A224A"/>
    <w:rsid w:val="003A416E"/>
    <w:rsid w:val="003A48B1"/>
    <w:rsid w:val="003A59C2"/>
    <w:rsid w:val="003A7612"/>
    <w:rsid w:val="003B3333"/>
    <w:rsid w:val="003B5D87"/>
    <w:rsid w:val="003C44A7"/>
    <w:rsid w:val="003C645E"/>
    <w:rsid w:val="003D00F7"/>
    <w:rsid w:val="003D1861"/>
    <w:rsid w:val="003D528F"/>
    <w:rsid w:val="003D54FE"/>
    <w:rsid w:val="003D7BD6"/>
    <w:rsid w:val="003E23C2"/>
    <w:rsid w:val="003E78FE"/>
    <w:rsid w:val="003F042D"/>
    <w:rsid w:val="003F2654"/>
    <w:rsid w:val="003F2DD6"/>
    <w:rsid w:val="003F4739"/>
    <w:rsid w:val="00402449"/>
    <w:rsid w:val="00404C0E"/>
    <w:rsid w:val="004064D9"/>
    <w:rsid w:val="00407B26"/>
    <w:rsid w:val="00410B98"/>
    <w:rsid w:val="00410D7B"/>
    <w:rsid w:val="00410E45"/>
    <w:rsid w:val="00411671"/>
    <w:rsid w:val="00412B25"/>
    <w:rsid w:val="004175E2"/>
    <w:rsid w:val="0041789D"/>
    <w:rsid w:val="004225E1"/>
    <w:rsid w:val="00423D70"/>
    <w:rsid w:val="00426639"/>
    <w:rsid w:val="00426B7E"/>
    <w:rsid w:val="00427ABE"/>
    <w:rsid w:val="00433B10"/>
    <w:rsid w:val="00433FA6"/>
    <w:rsid w:val="00435BE6"/>
    <w:rsid w:val="00442D04"/>
    <w:rsid w:val="00445D6B"/>
    <w:rsid w:val="00450AAF"/>
    <w:rsid w:val="0046052A"/>
    <w:rsid w:val="00461B00"/>
    <w:rsid w:val="0046306F"/>
    <w:rsid w:val="00463E96"/>
    <w:rsid w:val="00470889"/>
    <w:rsid w:val="004708E4"/>
    <w:rsid w:val="004711DE"/>
    <w:rsid w:val="00471D04"/>
    <w:rsid w:val="004720D2"/>
    <w:rsid w:val="00473DEB"/>
    <w:rsid w:val="00475405"/>
    <w:rsid w:val="00476BA5"/>
    <w:rsid w:val="004776B8"/>
    <w:rsid w:val="004812DF"/>
    <w:rsid w:val="00487AF1"/>
    <w:rsid w:val="00497685"/>
    <w:rsid w:val="004A0641"/>
    <w:rsid w:val="004A0B05"/>
    <w:rsid w:val="004A147A"/>
    <w:rsid w:val="004A4122"/>
    <w:rsid w:val="004A56DD"/>
    <w:rsid w:val="004A5A9A"/>
    <w:rsid w:val="004B1D4B"/>
    <w:rsid w:val="004B4299"/>
    <w:rsid w:val="004B7C5C"/>
    <w:rsid w:val="004C47DA"/>
    <w:rsid w:val="004D23A3"/>
    <w:rsid w:val="004D5023"/>
    <w:rsid w:val="004E02EA"/>
    <w:rsid w:val="004F0FFE"/>
    <w:rsid w:val="004F2D4F"/>
    <w:rsid w:val="004F4FE8"/>
    <w:rsid w:val="004F5D45"/>
    <w:rsid w:val="004F6211"/>
    <w:rsid w:val="004F7F57"/>
    <w:rsid w:val="005008B8"/>
    <w:rsid w:val="00501E0A"/>
    <w:rsid w:val="00504C06"/>
    <w:rsid w:val="00504DC5"/>
    <w:rsid w:val="005050ED"/>
    <w:rsid w:val="005133C8"/>
    <w:rsid w:val="005136CB"/>
    <w:rsid w:val="00514FB4"/>
    <w:rsid w:val="00517373"/>
    <w:rsid w:val="005239B4"/>
    <w:rsid w:val="00524ECF"/>
    <w:rsid w:val="00525B8F"/>
    <w:rsid w:val="005311AE"/>
    <w:rsid w:val="00533E30"/>
    <w:rsid w:val="0053420C"/>
    <w:rsid w:val="00543E4E"/>
    <w:rsid w:val="00546A47"/>
    <w:rsid w:val="00552AB0"/>
    <w:rsid w:val="0055644F"/>
    <w:rsid w:val="00557144"/>
    <w:rsid w:val="005612C3"/>
    <w:rsid w:val="005615B1"/>
    <w:rsid w:val="0056254B"/>
    <w:rsid w:val="00562B6D"/>
    <w:rsid w:val="0056410F"/>
    <w:rsid w:val="00564D4E"/>
    <w:rsid w:val="00566B99"/>
    <w:rsid w:val="00567B51"/>
    <w:rsid w:val="00572429"/>
    <w:rsid w:val="00573115"/>
    <w:rsid w:val="005807FF"/>
    <w:rsid w:val="005830C2"/>
    <w:rsid w:val="00586F51"/>
    <w:rsid w:val="00590979"/>
    <w:rsid w:val="005947FB"/>
    <w:rsid w:val="005956FB"/>
    <w:rsid w:val="005978AD"/>
    <w:rsid w:val="005A3219"/>
    <w:rsid w:val="005A3523"/>
    <w:rsid w:val="005A3F6A"/>
    <w:rsid w:val="005A4E99"/>
    <w:rsid w:val="005A54C5"/>
    <w:rsid w:val="005A5AAA"/>
    <w:rsid w:val="005A5DC3"/>
    <w:rsid w:val="005B2C16"/>
    <w:rsid w:val="005B2EE6"/>
    <w:rsid w:val="005B480A"/>
    <w:rsid w:val="005C2E40"/>
    <w:rsid w:val="005C32BA"/>
    <w:rsid w:val="005C353C"/>
    <w:rsid w:val="005C4B9E"/>
    <w:rsid w:val="005C5FC3"/>
    <w:rsid w:val="005C6F25"/>
    <w:rsid w:val="005D075C"/>
    <w:rsid w:val="005D217A"/>
    <w:rsid w:val="005D4824"/>
    <w:rsid w:val="005E00D5"/>
    <w:rsid w:val="005E4DDD"/>
    <w:rsid w:val="005E5033"/>
    <w:rsid w:val="005E64B7"/>
    <w:rsid w:val="005E6E84"/>
    <w:rsid w:val="005F023A"/>
    <w:rsid w:val="005F1738"/>
    <w:rsid w:val="005F4DCB"/>
    <w:rsid w:val="00601495"/>
    <w:rsid w:val="00601503"/>
    <w:rsid w:val="0060294E"/>
    <w:rsid w:val="0061279B"/>
    <w:rsid w:val="0061319A"/>
    <w:rsid w:val="00617FD5"/>
    <w:rsid w:val="00623533"/>
    <w:rsid w:val="006270F7"/>
    <w:rsid w:val="00627C4A"/>
    <w:rsid w:val="006304F5"/>
    <w:rsid w:val="00630B8F"/>
    <w:rsid w:val="00635A94"/>
    <w:rsid w:val="00643F0D"/>
    <w:rsid w:val="00646259"/>
    <w:rsid w:val="00650805"/>
    <w:rsid w:val="0065246B"/>
    <w:rsid w:val="00655B0F"/>
    <w:rsid w:val="006576A1"/>
    <w:rsid w:val="00665AC7"/>
    <w:rsid w:val="0066623C"/>
    <w:rsid w:val="00666EF5"/>
    <w:rsid w:val="00672C2C"/>
    <w:rsid w:val="00675386"/>
    <w:rsid w:val="00677385"/>
    <w:rsid w:val="00681580"/>
    <w:rsid w:val="00684B63"/>
    <w:rsid w:val="00684F7F"/>
    <w:rsid w:val="0068542D"/>
    <w:rsid w:val="006915ED"/>
    <w:rsid w:val="006953D9"/>
    <w:rsid w:val="00696A86"/>
    <w:rsid w:val="006A0B0C"/>
    <w:rsid w:val="006A2A78"/>
    <w:rsid w:val="006A7F60"/>
    <w:rsid w:val="006B3110"/>
    <w:rsid w:val="006B4BE4"/>
    <w:rsid w:val="006C146C"/>
    <w:rsid w:val="006C69AE"/>
    <w:rsid w:val="006D4411"/>
    <w:rsid w:val="006D5044"/>
    <w:rsid w:val="006E36F5"/>
    <w:rsid w:val="006E3768"/>
    <w:rsid w:val="006E6B6E"/>
    <w:rsid w:val="006F3161"/>
    <w:rsid w:val="006F316B"/>
    <w:rsid w:val="006F3CC8"/>
    <w:rsid w:val="007000B8"/>
    <w:rsid w:val="00706B1C"/>
    <w:rsid w:val="00707C48"/>
    <w:rsid w:val="00707E7D"/>
    <w:rsid w:val="0071106E"/>
    <w:rsid w:val="0072036C"/>
    <w:rsid w:val="007207AC"/>
    <w:rsid w:val="00727806"/>
    <w:rsid w:val="00741161"/>
    <w:rsid w:val="0074177A"/>
    <w:rsid w:val="007425A4"/>
    <w:rsid w:val="007449CD"/>
    <w:rsid w:val="007471AB"/>
    <w:rsid w:val="007473C9"/>
    <w:rsid w:val="00747675"/>
    <w:rsid w:val="0075591A"/>
    <w:rsid w:val="00760291"/>
    <w:rsid w:val="00766FF6"/>
    <w:rsid w:val="00770B22"/>
    <w:rsid w:val="007733F1"/>
    <w:rsid w:val="00773735"/>
    <w:rsid w:val="00781D8F"/>
    <w:rsid w:val="00782826"/>
    <w:rsid w:val="00784FA3"/>
    <w:rsid w:val="0078651A"/>
    <w:rsid w:val="0078676A"/>
    <w:rsid w:val="007913B7"/>
    <w:rsid w:val="007944D7"/>
    <w:rsid w:val="00795171"/>
    <w:rsid w:val="0079691E"/>
    <w:rsid w:val="007A454D"/>
    <w:rsid w:val="007B369D"/>
    <w:rsid w:val="007B3A92"/>
    <w:rsid w:val="007B7124"/>
    <w:rsid w:val="007B7A15"/>
    <w:rsid w:val="007C27B1"/>
    <w:rsid w:val="007C4F0C"/>
    <w:rsid w:val="007D284C"/>
    <w:rsid w:val="007D3947"/>
    <w:rsid w:val="007D3E86"/>
    <w:rsid w:val="007D6CB5"/>
    <w:rsid w:val="007E0A5A"/>
    <w:rsid w:val="007E2003"/>
    <w:rsid w:val="007E3A31"/>
    <w:rsid w:val="007E4CEA"/>
    <w:rsid w:val="007E6B1A"/>
    <w:rsid w:val="007E6FF0"/>
    <w:rsid w:val="007F17C5"/>
    <w:rsid w:val="007F3E66"/>
    <w:rsid w:val="007F5D63"/>
    <w:rsid w:val="007F7652"/>
    <w:rsid w:val="007F7814"/>
    <w:rsid w:val="0080165F"/>
    <w:rsid w:val="00802EE7"/>
    <w:rsid w:val="00806C30"/>
    <w:rsid w:val="0081064B"/>
    <w:rsid w:val="00811C25"/>
    <w:rsid w:val="0081280B"/>
    <w:rsid w:val="00813BE9"/>
    <w:rsid w:val="00816846"/>
    <w:rsid w:val="0082150A"/>
    <w:rsid w:val="008243AA"/>
    <w:rsid w:val="00825C74"/>
    <w:rsid w:val="00827805"/>
    <w:rsid w:val="00831EDB"/>
    <w:rsid w:val="008352D9"/>
    <w:rsid w:val="008407AF"/>
    <w:rsid w:val="008464AC"/>
    <w:rsid w:val="00846604"/>
    <w:rsid w:val="0084695B"/>
    <w:rsid w:val="00846CA6"/>
    <w:rsid w:val="00851A8D"/>
    <w:rsid w:val="00855021"/>
    <w:rsid w:val="008556B4"/>
    <w:rsid w:val="00857E9D"/>
    <w:rsid w:val="00865819"/>
    <w:rsid w:val="00866D93"/>
    <w:rsid w:val="00872EC3"/>
    <w:rsid w:val="00876385"/>
    <w:rsid w:val="00876C75"/>
    <w:rsid w:val="00877226"/>
    <w:rsid w:val="008774F6"/>
    <w:rsid w:val="00882D5E"/>
    <w:rsid w:val="008837B9"/>
    <w:rsid w:val="0088392B"/>
    <w:rsid w:val="008862DB"/>
    <w:rsid w:val="00891843"/>
    <w:rsid w:val="0089479F"/>
    <w:rsid w:val="008A2965"/>
    <w:rsid w:val="008B5A2E"/>
    <w:rsid w:val="008C0B65"/>
    <w:rsid w:val="008D39FE"/>
    <w:rsid w:val="008D3E83"/>
    <w:rsid w:val="008E043A"/>
    <w:rsid w:val="008E0C2C"/>
    <w:rsid w:val="008F0B11"/>
    <w:rsid w:val="008F167B"/>
    <w:rsid w:val="008F3167"/>
    <w:rsid w:val="008F35A1"/>
    <w:rsid w:val="008F3FAC"/>
    <w:rsid w:val="008F4AC8"/>
    <w:rsid w:val="0090182D"/>
    <w:rsid w:val="00905616"/>
    <w:rsid w:val="00906225"/>
    <w:rsid w:val="0091079E"/>
    <w:rsid w:val="00911255"/>
    <w:rsid w:val="009114E5"/>
    <w:rsid w:val="00912175"/>
    <w:rsid w:val="00913979"/>
    <w:rsid w:val="00915A77"/>
    <w:rsid w:val="009161F2"/>
    <w:rsid w:val="0092172F"/>
    <w:rsid w:val="00922230"/>
    <w:rsid w:val="009257F6"/>
    <w:rsid w:val="0093247A"/>
    <w:rsid w:val="0093396D"/>
    <w:rsid w:val="00933C84"/>
    <w:rsid w:val="00935688"/>
    <w:rsid w:val="00936F6B"/>
    <w:rsid w:val="009427B9"/>
    <w:rsid w:val="00943D63"/>
    <w:rsid w:val="00945752"/>
    <w:rsid w:val="00946F57"/>
    <w:rsid w:val="00952CF2"/>
    <w:rsid w:val="009569C8"/>
    <w:rsid w:val="00960384"/>
    <w:rsid w:val="00960BFE"/>
    <w:rsid w:val="009612FF"/>
    <w:rsid w:val="00963570"/>
    <w:rsid w:val="009641F1"/>
    <w:rsid w:val="00964373"/>
    <w:rsid w:val="009663FC"/>
    <w:rsid w:val="0096709D"/>
    <w:rsid w:val="00983719"/>
    <w:rsid w:val="0098420B"/>
    <w:rsid w:val="00986816"/>
    <w:rsid w:val="00990619"/>
    <w:rsid w:val="00991973"/>
    <w:rsid w:val="0099363E"/>
    <w:rsid w:val="00993B1A"/>
    <w:rsid w:val="00994455"/>
    <w:rsid w:val="0099484B"/>
    <w:rsid w:val="0099549A"/>
    <w:rsid w:val="00995611"/>
    <w:rsid w:val="009A027F"/>
    <w:rsid w:val="009A65B6"/>
    <w:rsid w:val="009A6965"/>
    <w:rsid w:val="009A6F58"/>
    <w:rsid w:val="009B0C8F"/>
    <w:rsid w:val="009B3CCB"/>
    <w:rsid w:val="009B5B60"/>
    <w:rsid w:val="009C3865"/>
    <w:rsid w:val="009C3FBA"/>
    <w:rsid w:val="009C5074"/>
    <w:rsid w:val="009D096F"/>
    <w:rsid w:val="009D3628"/>
    <w:rsid w:val="009D39CA"/>
    <w:rsid w:val="009D3EF4"/>
    <w:rsid w:val="009D4F5E"/>
    <w:rsid w:val="009D62B4"/>
    <w:rsid w:val="009D6A7B"/>
    <w:rsid w:val="009E005A"/>
    <w:rsid w:val="009E3C5D"/>
    <w:rsid w:val="009E4D11"/>
    <w:rsid w:val="009E769C"/>
    <w:rsid w:val="009E7C7B"/>
    <w:rsid w:val="009F0312"/>
    <w:rsid w:val="009F043D"/>
    <w:rsid w:val="009F0B90"/>
    <w:rsid w:val="009F3773"/>
    <w:rsid w:val="009F6153"/>
    <w:rsid w:val="009F75A3"/>
    <w:rsid w:val="00A02968"/>
    <w:rsid w:val="00A04841"/>
    <w:rsid w:val="00A11888"/>
    <w:rsid w:val="00A11B53"/>
    <w:rsid w:val="00A12A03"/>
    <w:rsid w:val="00A133B2"/>
    <w:rsid w:val="00A15E38"/>
    <w:rsid w:val="00A16550"/>
    <w:rsid w:val="00A206EC"/>
    <w:rsid w:val="00A224E1"/>
    <w:rsid w:val="00A23D6D"/>
    <w:rsid w:val="00A24848"/>
    <w:rsid w:val="00A24D26"/>
    <w:rsid w:val="00A27870"/>
    <w:rsid w:val="00A313B4"/>
    <w:rsid w:val="00A35F4A"/>
    <w:rsid w:val="00A36617"/>
    <w:rsid w:val="00A4521E"/>
    <w:rsid w:val="00A47139"/>
    <w:rsid w:val="00A476FE"/>
    <w:rsid w:val="00A5525E"/>
    <w:rsid w:val="00A556DA"/>
    <w:rsid w:val="00A5603F"/>
    <w:rsid w:val="00A611D1"/>
    <w:rsid w:val="00A65A00"/>
    <w:rsid w:val="00A67878"/>
    <w:rsid w:val="00A7072B"/>
    <w:rsid w:val="00A712E7"/>
    <w:rsid w:val="00A725B2"/>
    <w:rsid w:val="00A7269B"/>
    <w:rsid w:val="00A726DF"/>
    <w:rsid w:val="00A740BA"/>
    <w:rsid w:val="00A74BB4"/>
    <w:rsid w:val="00A751A5"/>
    <w:rsid w:val="00A75304"/>
    <w:rsid w:val="00A77F1E"/>
    <w:rsid w:val="00A80D4D"/>
    <w:rsid w:val="00A8224C"/>
    <w:rsid w:val="00A85329"/>
    <w:rsid w:val="00A97559"/>
    <w:rsid w:val="00AA0BE3"/>
    <w:rsid w:val="00AB133E"/>
    <w:rsid w:val="00AB292A"/>
    <w:rsid w:val="00AB4477"/>
    <w:rsid w:val="00AB6A49"/>
    <w:rsid w:val="00AC3217"/>
    <w:rsid w:val="00AC390E"/>
    <w:rsid w:val="00AC3D3C"/>
    <w:rsid w:val="00AC524C"/>
    <w:rsid w:val="00AC5844"/>
    <w:rsid w:val="00AC61EC"/>
    <w:rsid w:val="00AD16FD"/>
    <w:rsid w:val="00AD2D73"/>
    <w:rsid w:val="00AD3104"/>
    <w:rsid w:val="00AD3855"/>
    <w:rsid w:val="00AD3C2F"/>
    <w:rsid w:val="00AD4D98"/>
    <w:rsid w:val="00AF0A8E"/>
    <w:rsid w:val="00AF4C82"/>
    <w:rsid w:val="00AF6F51"/>
    <w:rsid w:val="00B00F7E"/>
    <w:rsid w:val="00B0107D"/>
    <w:rsid w:val="00B03DB9"/>
    <w:rsid w:val="00B04DEC"/>
    <w:rsid w:val="00B05772"/>
    <w:rsid w:val="00B07B0A"/>
    <w:rsid w:val="00B105EC"/>
    <w:rsid w:val="00B1166D"/>
    <w:rsid w:val="00B21A28"/>
    <w:rsid w:val="00B2605A"/>
    <w:rsid w:val="00B26B08"/>
    <w:rsid w:val="00B31850"/>
    <w:rsid w:val="00B323ED"/>
    <w:rsid w:val="00B33920"/>
    <w:rsid w:val="00B366CB"/>
    <w:rsid w:val="00B37C83"/>
    <w:rsid w:val="00B406EB"/>
    <w:rsid w:val="00B414B9"/>
    <w:rsid w:val="00B45A79"/>
    <w:rsid w:val="00B50469"/>
    <w:rsid w:val="00B54B25"/>
    <w:rsid w:val="00B54CAD"/>
    <w:rsid w:val="00B56DF8"/>
    <w:rsid w:val="00B6160F"/>
    <w:rsid w:val="00B61D87"/>
    <w:rsid w:val="00B6200F"/>
    <w:rsid w:val="00B6674F"/>
    <w:rsid w:val="00B66BDF"/>
    <w:rsid w:val="00B72012"/>
    <w:rsid w:val="00B7265B"/>
    <w:rsid w:val="00B814B4"/>
    <w:rsid w:val="00B8428C"/>
    <w:rsid w:val="00B85323"/>
    <w:rsid w:val="00B9263F"/>
    <w:rsid w:val="00B93317"/>
    <w:rsid w:val="00B933F7"/>
    <w:rsid w:val="00B96A68"/>
    <w:rsid w:val="00B97375"/>
    <w:rsid w:val="00BA2950"/>
    <w:rsid w:val="00BA5D21"/>
    <w:rsid w:val="00BA6E34"/>
    <w:rsid w:val="00BB01AF"/>
    <w:rsid w:val="00BB2F55"/>
    <w:rsid w:val="00BB57AC"/>
    <w:rsid w:val="00BB668F"/>
    <w:rsid w:val="00BB6743"/>
    <w:rsid w:val="00BB7DB3"/>
    <w:rsid w:val="00BC243A"/>
    <w:rsid w:val="00BC2FAD"/>
    <w:rsid w:val="00BC5355"/>
    <w:rsid w:val="00BC5573"/>
    <w:rsid w:val="00BD2BDC"/>
    <w:rsid w:val="00BE0108"/>
    <w:rsid w:val="00BE02B7"/>
    <w:rsid w:val="00BE0380"/>
    <w:rsid w:val="00BE3C10"/>
    <w:rsid w:val="00BE5791"/>
    <w:rsid w:val="00BE7F39"/>
    <w:rsid w:val="00BF09DD"/>
    <w:rsid w:val="00BF4546"/>
    <w:rsid w:val="00C016BA"/>
    <w:rsid w:val="00C05869"/>
    <w:rsid w:val="00C066D1"/>
    <w:rsid w:val="00C1020C"/>
    <w:rsid w:val="00C10222"/>
    <w:rsid w:val="00C12832"/>
    <w:rsid w:val="00C13660"/>
    <w:rsid w:val="00C14678"/>
    <w:rsid w:val="00C21B56"/>
    <w:rsid w:val="00C25441"/>
    <w:rsid w:val="00C26017"/>
    <w:rsid w:val="00C35869"/>
    <w:rsid w:val="00C35949"/>
    <w:rsid w:val="00C35D1B"/>
    <w:rsid w:val="00C403E7"/>
    <w:rsid w:val="00C444E3"/>
    <w:rsid w:val="00C54027"/>
    <w:rsid w:val="00C54093"/>
    <w:rsid w:val="00C552D9"/>
    <w:rsid w:val="00C566C0"/>
    <w:rsid w:val="00C609EB"/>
    <w:rsid w:val="00C60D45"/>
    <w:rsid w:val="00C6109C"/>
    <w:rsid w:val="00C65415"/>
    <w:rsid w:val="00C67DB8"/>
    <w:rsid w:val="00C71F92"/>
    <w:rsid w:val="00C7303A"/>
    <w:rsid w:val="00C74CF3"/>
    <w:rsid w:val="00C754BB"/>
    <w:rsid w:val="00C77195"/>
    <w:rsid w:val="00C83BB5"/>
    <w:rsid w:val="00C83C64"/>
    <w:rsid w:val="00C84EE5"/>
    <w:rsid w:val="00C90E32"/>
    <w:rsid w:val="00C92CE6"/>
    <w:rsid w:val="00C947CF"/>
    <w:rsid w:val="00CA0B07"/>
    <w:rsid w:val="00CA0B48"/>
    <w:rsid w:val="00CA112E"/>
    <w:rsid w:val="00CA2209"/>
    <w:rsid w:val="00CA5B1C"/>
    <w:rsid w:val="00CB1EFB"/>
    <w:rsid w:val="00CB4584"/>
    <w:rsid w:val="00CB48D4"/>
    <w:rsid w:val="00CC295D"/>
    <w:rsid w:val="00CC3E80"/>
    <w:rsid w:val="00CC464F"/>
    <w:rsid w:val="00CC7694"/>
    <w:rsid w:val="00CD14BC"/>
    <w:rsid w:val="00CD476F"/>
    <w:rsid w:val="00CD78DC"/>
    <w:rsid w:val="00CE4791"/>
    <w:rsid w:val="00CE68EE"/>
    <w:rsid w:val="00CE6FE3"/>
    <w:rsid w:val="00CF12E9"/>
    <w:rsid w:val="00CF2320"/>
    <w:rsid w:val="00CF431A"/>
    <w:rsid w:val="00CF4732"/>
    <w:rsid w:val="00CF73C3"/>
    <w:rsid w:val="00D013AC"/>
    <w:rsid w:val="00D02DFE"/>
    <w:rsid w:val="00D1076F"/>
    <w:rsid w:val="00D1115F"/>
    <w:rsid w:val="00D1246C"/>
    <w:rsid w:val="00D12495"/>
    <w:rsid w:val="00D247E3"/>
    <w:rsid w:val="00D269F4"/>
    <w:rsid w:val="00D27BB4"/>
    <w:rsid w:val="00D324E3"/>
    <w:rsid w:val="00D346CE"/>
    <w:rsid w:val="00D36EFF"/>
    <w:rsid w:val="00D401F5"/>
    <w:rsid w:val="00D411DD"/>
    <w:rsid w:val="00D417B1"/>
    <w:rsid w:val="00D42912"/>
    <w:rsid w:val="00D47D25"/>
    <w:rsid w:val="00D67A1A"/>
    <w:rsid w:val="00D67C0C"/>
    <w:rsid w:val="00D73284"/>
    <w:rsid w:val="00D7338B"/>
    <w:rsid w:val="00D77C82"/>
    <w:rsid w:val="00D823C7"/>
    <w:rsid w:val="00D90824"/>
    <w:rsid w:val="00D95329"/>
    <w:rsid w:val="00D956D5"/>
    <w:rsid w:val="00D95F50"/>
    <w:rsid w:val="00D97C4B"/>
    <w:rsid w:val="00DA108E"/>
    <w:rsid w:val="00DA3D32"/>
    <w:rsid w:val="00DA5163"/>
    <w:rsid w:val="00DA55AE"/>
    <w:rsid w:val="00DA56BB"/>
    <w:rsid w:val="00DA767C"/>
    <w:rsid w:val="00DB0AC6"/>
    <w:rsid w:val="00DB21C2"/>
    <w:rsid w:val="00DB316C"/>
    <w:rsid w:val="00DB334E"/>
    <w:rsid w:val="00DB4782"/>
    <w:rsid w:val="00DB5760"/>
    <w:rsid w:val="00DB62B7"/>
    <w:rsid w:val="00DB7C50"/>
    <w:rsid w:val="00DC114E"/>
    <w:rsid w:val="00DC3F80"/>
    <w:rsid w:val="00DC4D06"/>
    <w:rsid w:val="00DC7910"/>
    <w:rsid w:val="00DC7A3D"/>
    <w:rsid w:val="00DD5A5E"/>
    <w:rsid w:val="00DE270D"/>
    <w:rsid w:val="00DE499F"/>
    <w:rsid w:val="00DE4C04"/>
    <w:rsid w:val="00DE4EA9"/>
    <w:rsid w:val="00DE7E21"/>
    <w:rsid w:val="00DF2203"/>
    <w:rsid w:val="00DF6D23"/>
    <w:rsid w:val="00E01E22"/>
    <w:rsid w:val="00E02F0B"/>
    <w:rsid w:val="00E037E9"/>
    <w:rsid w:val="00E04049"/>
    <w:rsid w:val="00E11B36"/>
    <w:rsid w:val="00E11E36"/>
    <w:rsid w:val="00E12F80"/>
    <w:rsid w:val="00E139FF"/>
    <w:rsid w:val="00E13E43"/>
    <w:rsid w:val="00E14BF1"/>
    <w:rsid w:val="00E17164"/>
    <w:rsid w:val="00E208BC"/>
    <w:rsid w:val="00E276AC"/>
    <w:rsid w:val="00E334EB"/>
    <w:rsid w:val="00E34D3E"/>
    <w:rsid w:val="00E35C10"/>
    <w:rsid w:val="00E42711"/>
    <w:rsid w:val="00E42E6F"/>
    <w:rsid w:val="00E431A8"/>
    <w:rsid w:val="00E447E1"/>
    <w:rsid w:val="00E52E03"/>
    <w:rsid w:val="00E55B34"/>
    <w:rsid w:val="00E56268"/>
    <w:rsid w:val="00E57318"/>
    <w:rsid w:val="00E70140"/>
    <w:rsid w:val="00E71A3B"/>
    <w:rsid w:val="00E726B1"/>
    <w:rsid w:val="00E73425"/>
    <w:rsid w:val="00E73B78"/>
    <w:rsid w:val="00E80931"/>
    <w:rsid w:val="00E8213D"/>
    <w:rsid w:val="00E82817"/>
    <w:rsid w:val="00E841FB"/>
    <w:rsid w:val="00E8421A"/>
    <w:rsid w:val="00E855B5"/>
    <w:rsid w:val="00E943C1"/>
    <w:rsid w:val="00E958D1"/>
    <w:rsid w:val="00EA129E"/>
    <w:rsid w:val="00EA159E"/>
    <w:rsid w:val="00EA1C2F"/>
    <w:rsid w:val="00EA249A"/>
    <w:rsid w:val="00EA7A51"/>
    <w:rsid w:val="00EB00B6"/>
    <w:rsid w:val="00EB5298"/>
    <w:rsid w:val="00EB5600"/>
    <w:rsid w:val="00EB7031"/>
    <w:rsid w:val="00EC1C12"/>
    <w:rsid w:val="00EC3FC6"/>
    <w:rsid w:val="00EC4228"/>
    <w:rsid w:val="00EC6504"/>
    <w:rsid w:val="00ED1834"/>
    <w:rsid w:val="00ED4D7E"/>
    <w:rsid w:val="00ED5221"/>
    <w:rsid w:val="00ED7B46"/>
    <w:rsid w:val="00EE30D9"/>
    <w:rsid w:val="00EE6951"/>
    <w:rsid w:val="00EF3D48"/>
    <w:rsid w:val="00EF5524"/>
    <w:rsid w:val="00EF6F81"/>
    <w:rsid w:val="00EF7B11"/>
    <w:rsid w:val="00F00B95"/>
    <w:rsid w:val="00F00C55"/>
    <w:rsid w:val="00F01E88"/>
    <w:rsid w:val="00F05E99"/>
    <w:rsid w:val="00F10E12"/>
    <w:rsid w:val="00F11EFB"/>
    <w:rsid w:val="00F133ED"/>
    <w:rsid w:val="00F143E3"/>
    <w:rsid w:val="00F17578"/>
    <w:rsid w:val="00F207A3"/>
    <w:rsid w:val="00F20B9C"/>
    <w:rsid w:val="00F21E66"/>
    <w:rsid w:val="00F26C61"/>
    <w:rsid w:val="00F33A87"/>
    <w:rsid w:val="00F40413"/>
    <w:rsid w:val="00F415AF"/>
    <w:rsid w:val="00F43C3E"/>
    <w:rsid w:val="00F4612C"/>
    <w:rsid w:val="00F461CE"/>
    <w:rsid w:val="00F46971"/>
    <w:rsid w:val="00F50331"/>
    <w:rsid w:val="00F50E2E"/>
    <w:rsid w:val="00F51060"/>
    <w:rsid w:val="00F52898"/>
    <w:rsid w:val="00F532D3"/>
    <w:rsid w:val="00F54DFA"/>
    <w:rsid w:val="00F61096"/>
    <w:rsid w:val="00F70706"/>
    <w:rsid w:val="00F70B86"/>
    <w:rsid w:val="00F71BFA"/>
    <w:rsid w:val="00F7406F"/>
    <w:rsid w:val="00F75CA4"/>
    <w:rsid w:val="00F76B98"/>
    <w:rsid w:val="00F7701C"/>
    <w:rsid w:val="00F80C73"/>
    <w:rsid w:val="00F820F5"/>
    <w:rsid w:val="00F8287E"/>
    <w:rsid w:val="00F8600F"/>
    <w:rsid w:val="00F903E2"/>
    <w:rsid w:val="00F93F09"/>
    <w:rsid w:val="00F96806"/>
    <w:rsid w:val="00F96E2F"/>
    <w:rsid w:val="00F97949"/>
    <w:rsid w:val="00FA56DA"/>
    <w:rsid w:val="00FB5134"/>
    <w:rsid w:val="00FB5280"/>
    <w:rsid w:val="00FB5B18"/>
    <w:rsid w:val="00FB725A"/>
    <w:rsid w:val="00FD00EA"/>
    <w:rsid w:val="00FD29B6"/>
    <w:rsid w:val="00FD537B"/>
    <w:rsid w:val="00FD651C"/>
    <w:rsid w:val="00FD6B1D"/>
    <w:rsid w:val="00FE6C90"/>
    <w:rsid w:val="00FE734D"/>
    <w:rsid w:val="00FE7E69"/>
    <w:rsid w:val="00FF0D7F"/>
    <w:rsid w:val="00FF1448"/>
    <w:rsid w:val="00FF2635"/>
    <w:rsid w:val="00FF35D2"/>
    <w:rsid w:val="00FF64CC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719"/>
    <w:rPr>
      <w:sz w:val="24"/>
    </w:rPr>
  </w:style>
  <w:style w:type="paragraph" w:styleId="Overskrift4">
    <w:name w:val="heading 4"/>
    <w:basedOn w:val="Normal"/>
    <w:next w:val="Normal"/>
    <w:qFormat/>
    <w:rsid w:val="00471D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de">
    <w:name w:val="Hode"/>
    <w:rsid w:val="00983719"/>
    <w:rPr>
      <w:noProof/>
      <w:sz w:val="24"/>
    </w:rPr>
  </w:style>
  <w:style w:type="paragraph" w:styleId="Liste">
    <w:name w:val="List"/>
    <w:basedOn w:val="Normal"/>
    <w:rsid w:val="00983719"/>
    <w:pPr>
      <w:ind w:left="283" w:hanging="283"/>
    </w:pPr>
  </w:style>
  <w:style w:type="table" w:styleId="Tabellrutenett">
    <w:name w:val="Table Grid"/>
    <w:basedOn w:val="Vanligtabell"/>
    <w:rsid w:val="0047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merketliste2">
    <w:name w:val="List Bullet 2"/>
    <w:basedOn w:val="Normal"/>
    <w:rsid w:val="00471D04"/>
    <w:pPr>
      <w:numPr>
        <w:numId w:val="2"/>
      </w:numPr>
    </w:pPr>
  </w:style>
  <w:style w:type="paragraph" w:customStyle="1" w:styleId="Tilfelt">
    <w:name w:val="Tilfelt"/>
    <w:basedOn w:val="Normal"/>
    <w:autoRedefine/>
    <w:rsid w:val="00E334EB"/>
    <w:pPr>
      <w:numPr>
        <w:numId w:val="13"/>
      </w:numPr>
      <w:tabs>
        <w:tab w:val="clear" w:pos="720"/>
      </w:tabs>
      <w:spacing w:before="240" w:after="120"/>
      <w:ind w:left="360" w:right="85"/>
    </w:pPr>
    <w:rPr>
      <w:szCs w:val="24"/>
      <w:lang w:eastAsia="en-US"/>
    </w:rPr>
  </w:style>
  <w:style w:type="paragraph" w:styleId="Bunntekst">
    <w:name w:val="footer"/>
    <w:basedOn w:val="Normal"/>
    <w:rsid w:val="009E4D1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A2950"/>
  </w:style>
  <w:style w:type="paragraph" w:styleId="Listeavsnitt">
    <w:name w:val="List Paragraph"/>
    <w:basedOn w:val="Normal"/>
    <w:uiPriority w:val="34"/>
    <w:qFormat/>
    <w:rsid w:val="000C2CB5"/>
    <w:pPr>
      <w:ind w:left="720"/>
      <w:contextualSpacing/>
    </w:pPr>
  </w:style>
  <w:style w:type="paragraph" w:styleId="Bobletekst">
    <w:name w:val="Balloon Text"/>
    <w:basedOn w:val="Normal"/>
    <w:link w:val="BobletekstTegn"/>
    <w:rsid w:val="00092F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92F1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E958D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958D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E958D1"/>
  </w:style>
  <w:style w:type="paragraph" w:styleId="Kommentaremne">
    <w:name w:val="annotation subject"/>
    <w:basedOn w:val="Merknadstekst"/>
    <w:next w:val="Merknadstekst"/>
    <w:link w:val="KommentaremneTegn"/>
    <w:rsid w:val="00E958D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958D1"/>
    <w:rPr>
      <w:b/>
      <w:bCs/>
    </w:rPr>
  </w:style>
  <w:style w:type="character" w:styleId="Hyperkobling">
    <w:name w:val="Hyperlink"/>
    <w:basedOn w:val="Standardskriftforavsnitt"/>
    <w:rsid w:val="003D7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719"/>
    <w:rPr>
      <w:sz w:val="24"/>
    </w:rPr>
  </w:style>
  <w:style w:type="paragraph" w:styleId="Overskrift4">
    <w:name w:val="heading 4"/>
    <w:basedOn w:val="Normal"/>
    <w:next w:val="Normal"/>
    <w:qFormat/>
    <w:rsid w:val="00471D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de">
    <w:name w:val="Hode"/>
    <w:rsid w:val="00983719"/>
    <w:rPr>
      <w:noProof/>
      <w:sz w:val="24"/>
    </w:rPr>
  </w:style>
  <w:style w:type="paragraph" w:styleId="Liste">
    <w:name w:val="List"/>
    <w:basedOn w:val="Normal"/>
    <w:rsid w:val="00983719"/>
    <w:pPr>
      <w:ind w:left="283" w:hanging="283"/>
    </w:pPr>
  </w:style>
  <w:style w:type="table" w:styleId="Tabellrutenett">
    <w:name w:val="Table Grid"/>
    <w:basedOn w:val="Vanligtabell"/>
    <w:rsid w:val="0047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merketliste2">
    <w:name w:val="List Bullet 2"/>
    <w:basedOn w:val="Normal"/>
    <w:rsid w:val="00471D04"/>
    <w:pPr>
      <w:numPr>
        <w:numId w:val="2"/>
      </w:numPr>
    </w:pPr>
  </w:style>
  <w:style w:type="paragraph" w:customStyle="1" w:styleId="Tilfelt">
    <w:name w:val="Tilfelt"/>
    <w:basedOn w:val="Normal"/>
    <w:autoRedefine/>
    <w:rsid w:val="00E334EB"/>
    <w:pPr>
      <w:numPr>
        <w:numId w:val="13"/>
      </w:numPr>
      <w:tabs>
        <w:tab w:val="clear" w:pos="720"/>
      </w:tabs>
      <w:spacing w:before="240" w:after="120"/>
      <w:ind w:left="360" w:right="85"/>
    </w:pPr>
    <w:rPr>
      <w:szCs w:val="24"/>
      <w:lang w:eastAsia="en-US"/>
    </w:rPr>
  </w:style>
  <w:style w:type="paragraph" w:styleId="Bunntekst">
    <w:name w:val="footer"/>
    <w:basedOn w:val="Normal"/>
    <w:rsid w:val="009E4D1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A2950"/>
  </w:style>
  <w:style w:type="paragraph" w:styleId="Listeavsnitt">
    <w:name w:val="List Paragraph"/>
    <w:basedOn w:val="Normal"/>
    <w:uiPriority w:val="34"/>
    <w:qFormat/>
    <w:rsid w:val="000C2CB5"/>
    <w:pPr>
      <w:ind w:left="720"/>
      <w:contextualSpacing/>
    </w:pPr>
  </w:style>
  <w:style w:type="paragraph" w:styleId="Bobletekst">
    <w:name w:val="Balloon Text"/>
    <w:basedOn w:val="Normal"/>
    <w:link w:val="BobletekstTegn"/>
    <w:rsid w:val="00092F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92F1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E958D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958D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E958D1"/>
  </w:style>
  <w:style w:type="paragraph" w:styleId="Kommentaremne">
    <w:name w:val="annotation subject"/>
    <w:basedOn w:val="Merknadstekst"/>
    <w:next w:val="Merknadstekst"/>
    <w:link w:val="KommentaremneTegn"/>
    <w:rsid w:val="00E958D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958D1"/>
    <w:rPr>
      <w:b/>
      <w:bCs/>
    </w:rPr>
  </w:style>
  <w:style w:type="character" w:styleId="Hyperkobling">
    <w:name w:val="Hyperlink"/>
    <w:basedOn w:val="Standardskriftforavsnitt"/>
    <w:rsid w:val="003D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66.13%20Opptaksrammer%20Vedl%201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66.13%20Opptaksrammer%20Vedl%204%20Tabell%202,%20M&#248;tt%202011-201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66.13%20Opptaksrammer%20vedl%203%20Samlet%20framstilling%20NTNU%202014-15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66.13%20Opptaksrammer%20Vedl%202%20-%20Opptakstekniske%20f&#248;ringer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.ansatt.ntnu.no\stebergl\Jobb\Opptaksrammesaken\Opptaksrammer%2014-15\Tabeller%20til%20opptaksrammesak%202014-15\Tabeller%20til%20bruk%20i%20styrenotat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Møtt 2011-2013 fordelt på nivå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603238062093067"/>
          <c:y val="0.12350483734236341"/>
          <c:w val="0.71247632719943155"/>
          <c:h val="0.760096380293653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'Diagram fordeling møtt på nivå'!$B$5</c:f>
              <c:strCache>
                <c:ptCount val="1"/>
                <c:pt idx="0">
                  <c:v>Møtt 2011</c:v>
                </c:pt>
              </c:strCache>
            </c:strRef>
          </c:tx>
          <c:invertIfNegative val="0"/>
          <c:cat>
            <c:strRef>
              <c:f>'Diagram fordeling møtt på nivå'!$A$6:$A$11</c:f>
              <c:strCache>
                <c:ptCount val="6"/>
                <c:pt idx="0">
                  <c:v>Årsstudium</c:v>
                </c:pt>
                <c:pt idx="1">
                  <c:v>Bachelor</c:v>
                </c:pt>
                <c:pt idx="2">
                  <c:v>2-årig master</c:v>
                </c:pt>
                <c:pt idx="3">
                  <c:v>2-årig int. master</c:v>
                </c:pt>
                <c:pt idx="4">
                  <c:v>5-årig master</c:v>
                </c:pt>
                <c:pt idx="5">
                  <c:v>Profesjon</c:v>
                </c:pt>
              </c:strCache>
            </c:strRef>
          </c:cat>
          <c:val>
            <c:numRef>
              <c:f>'Diagram fordeling møtt på nivå'!$B$6:$B$11</c:f>
              <c:numCache>
                <c:formatCode>General</c:formatCode>
                <c:ptCount val="6"/>
                <c:pt idx="0">
                  <c:v>1126</c:v>
                </c:pt>
                <c:pt idx="1">
                  <c:v>2006</c:v>
                </c:pt>
                <c:pt idx="2">
                  <c:v>1093</c:v>
                </c:pt>
                <c:pt idx="3">
                  <c:v>480</c:v>
                </c:pt>
                <c:pt idx="4">
                  <c:v>1853</c:v>
                </c:pt>
                <c:pt idx="5">
                  <c:v>236</c:v>
                </c:pt>
              </c:numCache>
            </c:numRef>
          </c:val>
        </c:ser>
        <c:ser>
          <c:idx val="1"/>
          <c:order val="1"/>
          <c:tx>
            <c:strRef>
              <c:f>'Diagram fordeling møtt på nivå'!$C$5</c:f>
              <c:strCache>
                <c:ptCount val="1"/>
                <c:pt idx="0">
                  <c:v>Møtt 2012</c:v>
                </c:pt>
              </c:strCache>
            </c:strRef>
          </c:tx>
          <c:invertIfNegative val="0"/>
          <c:cat>
            <c:strRef>
              <c:f>'Diagram fordeling møtt på nivå'!$A$6:$A$11</c:f>
              <c:strCache>
                <c:ptCount val="6"/>
                <c:pt idx="0">
                  <c:v>Årsstudium</c:v>
                </c:pt>
                <c:pt idx="1">
                  <c:v>Bachelor</c:v>
                </c:pt>
                <c:pt idx="2">
                  <c:v>2-årig master</c:v>
                </c:pt>
                <c:pt idx="3">
                  <c:v>2-årig int. master</c:v>
                </c:pt>
                <c:pt idx="4">
                  <c:v>5-årig master</c:v>
                </c:pt>
                <c:pt idx="5">
                  <c:v>Profesjon</c:v>
                </c:pt>
              </c:strCache>
            </c:strRef>
          </c:cat>
          <c:val>
            <c:numRef>
              <c:f>'Diagram fordeling møtt på nivå'!$C$6:$C$11</c:f>
              <c:numCache>
                <c:formatCode>General</c:formatCode>
                <c:ptCount val="6"/>
                <c:pt idx="0">
                  <c:v>1230</c:v>
                </c:pt>
                <c:pt idx="1">
                  <c:v>1925</c:v>
                </c:pt>
                <c:pt idx="2">
                  <c:v>1138</c:v>
                </c:pt>
                <c:pt idx="3">
                  <c:v>487</c:v>
                </c:pt>
                <c:pt idx="4">
                  <c:v>1969</c:v>
                </c:pt>
                <c:pt idx="5">
                  <c:v>179</c:v>
                </c:pt>
              </c:numCache>
            </c:numRef>
          </c:val>
        </c:ser>
        <c:ser>
          <c:idx val="2"/>
          <c:order val="2"/>
          <c:tx>
            <c:strRef>
              <c:f>'Diagram fordeling møtt på nivå'!$D$5</c:f>
              <c:strCache>
                <c:ptCount val="1"/>
                <c:pt idx="0">
                  <c:v>Møtt 2013</c:v>
                </c:pt>
              </c:strCache>
            </c:strRef>
          </c:tx>
          <c:invertIfNegative val="0"/>
          <c:cat>
            <c:strRef>
              <c:f>'Diagram fordeling møtt på nivå'!$A$6:$A$11</c:f>
              <c:strCache>
                <c:ptCount val="6"/>
                <c:pt idx="0">
                  <c:v>Årsstudium</c:v>
                </c:pt>
                <c:pt idx="1">
                  <c:v>Bachelor</c:v>
                </c:pt>
                <c:pt idx="2">
                  <c:v>2-årig master</c:v>
                </c:pt>
                <c:pt idx="3">
                  <c:v>2-årig int. master</c:v>
                </c:pt>
                <c:pt idx="4">
                  <c:v>5-årig master</c:v>
                </c:pt>
                <c:pt idx="5">
                  <c:v>Profesjon</c:v>
                </c:pt>
              </c:strCache>
            </c:strRef>
          </c:cat>
          <c:val>
            <c:numRef>
              <c:f>'Diagram fordeling møtt på nivå'!$D$6:$D$11</c:f>
              <c:numCache>
                <c:formatCode>General</c:formatCode>
                <c:ptCount val="6"/>
                <c:pt idx="0">
                  <c:v>1307</c:v>
                </c:pt>
                <c:pt idx="1">
                  <c:v>1917</c:v>
                </c:pt>
                <c:pt idx="2">
                  <c:v>1190</c:v>
                </c:pt>
                <c:pt idx="3">
                  <c:v>515</c:v>
                </c:pt>
                <c:pt idx="4">
                  <c:v>2020</c:v>
                </c:pt>
                <c:pt idx="5">
                  <c:v>189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829760"/>
        <c:axId val="195833216"/>
      </c:barChart>
      <c:catAx>
        <c:axId val="19582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95833216"/>
        <c:crosses val="autoZero"/>
        <c:auto val="1"/>
        <c:lblAlgn val="ctr"/>
        <c:lblOffset val="100"/>
        <c:noMultiLvlLbl val="0"/>
      </c:catAx>
      <c:valAx>
        <c:axId val="19583321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Antall </a:t>
                </a:r>
              </a:p>
              <a:p>
                <a:pPr>
                  <a:defRPr/>
                </a:pPr>
                <a:r>
                  <a:rPr lang="en-US"/>
                  <a:t>studenter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5829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01A6-D3BF-4A92-B461-C332F1F3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1925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NTNU</vt:lpstr>
    </vt:vector>
  </TitlesOfParts>
  <Company>NTNU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</dc:title>
  <dc:creator>ken.steberglokken@ntnu.no</dc:creator>
  <cp:lastModifiedBy>Beate Knarbakk Reinertsen</cp:lastModifiedBy>
  <cp:revision>6</cp:revision>
  <cp:lastPrinted>2013-11-27T06:35:00Z</cp:lastPrinted>
  <dcterms:created xsi:type="dcterms:W3CDTF">2013-11-28T07:47:00Z</dcterms:created>
  <dcterms:modified xsi:type="dcterms:W3CDTF">2013-11-28T07:50:00Z</dcterms:modified>
</cp:coreProperties>
</file>