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Pr="00A23536" w:rsidRDefault="00E60F2A" w:rsidP="00AB1891">
      <w:pPr>
        <w:pStyle w:val="Hode"/>
        <w:tabs>
          <w:tab w:val="right" w:pos="9809"/>
        </w:tabs>
        <w:jc w:val="both"/>
        <w:rPr>
          <w:b/>
        </w:rPr>
      </w:pPr>
      <w:r w:rsidRPr="00A23536">
        <w:rPr>
          <w:b/>
        </w:rPr>
        <w:t>NTNU</w:t>
      </w:r>
      <w:r w:rsidRPr="00A23536">
        <w:rPr>
          <w:b/>
        </w:rPr>
        <w:tab/>
      </w:r>
      <w:r w:rsidR="0040572D" w:rsidRPr="00A23536">
        <w:rPr>
          <w:b/>
        </w:rPr>
        <w:t>O</w:t>
      </w:r>
      <w:r w:rsidR="00996C78" w:rsidRPr="00A23536">
        <w:rPr>
          <w:b/>
        </w:rPr>
        <w:t xml:space="preserve">-sak </w:t>
      </w:r>
      <w:bookmarkStart w:id="0" w:name="Ksak"/>
      <w:bookmarkEnd w:id="0"/>
      <w:r w:rsidR="00F23714">
        <w:rPr>
          <w:b/>
        </w:rPr>
        <w:t>16</w:t>
      </w:r>
      <w:r w:rsidRPr="00A23536">
        <w:rPr>
          <w:b/>
        </w:rPr>
        <w:t>/13</w:t>
      </w:r>
    </w:p>
    <w:p w:rsidR="00996C78" w:rsidRPr="00A23536" w:rsidRDefault="00996C78" w:rsidP="00AB1891">
      <w:pPr>
        <w:pStyle w:val="Hode"/>
        <w:tabs>
          <w:tab w:val="right" w:pos="9809"/>
        </w:tabs>
        <w:jc w:val="both"/>
        <w:rPr>
          <w:b/>
        </w:rPr>
      </w:pPr>
      <w:r w:rsidRPr="00A23536">
        <w:rPr>
          <w:b/>
        </w:rPr>
        <w:t>Norges teknisk-naturvitenskapelige</w:t>
      </w:r>
    </w:p>
    <w:p w:rsidR="00996C78" w:rsidRPr="00A23536" w:rsidRDefault="00996C78" w:rsidP="00AB1891">
      <w:pPr>
        <w:pStyle w:val="Hode"/>
        <w:tabs>
          <w:tab w:val="right" w:pos="9809"/>
        </w:tabs>
        <w:jc w:val="both"/>
        <w:rPr>
          <w:b/>
        </w:rPr>
      </w:pPr>
      <w:r w:rsidRPr="00A23536">
        <w:rPr>
          <w:b/>
        </w:rPr>
        <w:t>universitet</w:t>
      </w:r>
    </w:p>
    <w:p w:rsidR="00996C78" w:rsidRPr="00A23536" w:rsidRDefault="00D01A60" w:rsidP="00AB1891">
      <w:pPr>
        <w:tabs>
          <w:tab w:val="right" w:pos="9809"/>
        </w:tabs>
        <w:jc w:val="both"/>
      </w:pPr>
      <w:bookmarkStart w:id="1" w:name="Dato"/>
      <w:bookmarkEnd w:id="1"/>
      <w:proofErr w:type="gramStart"/>
      <w:r>
        <w:t>24</w:t>
      </w:r>
      <w:r w:rsidR="00E60F2A" w:rsidRPr="00A23536">
        <w:t>.09.2013</w:t>
      </w:r>
      <w:proofErr w:type="gramEnd"/>
      <w:r w:rsidR="00996C78" w:rsidRPr="00A23536">
        <w:t xml:space="preserve"> </w:t>
      </w:r>
      <w:bookmarkStart w:id="2" w:name="Init"/>
      <w:bookmarkEnd w:id="2"/>
    </w:p>
    <w:p w:rsidR="00996C78" w:rsidRDefault="00BD3E30" w:rsidP="00AB1891">
      <w:pPr>
        <w:pStyle w:val="Hode"/>
        <w:tabs>
          <w:tab w:val="right" w:pos="9809"/>
        </w:tabs>
        <w:jc w:val="both"/>
      </w:pPr>
      <w:bookmarkStart w:id="3" w:name="para"/>
      <w:bookmarkEnd w:id="3"/>
      <w:r>
        <w:t xml:space="preserve">Saksansvarlig: </w:t>
      </w:r>
      <w:r w:rsidR="00F23714">
        <w:t xml:space="preserve"> </w:t>
      </w:r>
      <w:r>
        <w:t>Kari Melby</w:t>
      </w:r>
    </w:p>
    <w:p w:rsidR="00BD3E30" w:rsidRPr="00A23536" w:rsidRDefault="00BD3E30" w:rsidP="00AB1891">
      <w:pPr>
        <w:pStyle w:val="Hode"/>
        <w:tabs>
          <w:tab w:val="right" w:pos="9809"/>
        </w:tabs>
        <w:jc w:val="both"/>
      </w:pPr>
      <w:r>
        <w:t>Saksbehandler: Nina Sindre</w:t>
      </w:r>
    </w:p>
    <w:p w:rsidR="00996C78" w:rsidRPr="00A23536" w:rsidRDefault="00996C78" w:rsidP="00AB1891">
      <w:pPr>
        <w:pStyle w:val="Hode"/>
        <w:tabs>
          <w:tab w:val="right" w:pos="9809"/>
        </w:tabs>
        <w:jc w:val="both"/>
        <w:rPr>
          <w:b/>
        </w:rPr>
      </w:pPr>
    </w:p>
    <w:p w:rsidR="00996C78" w:rsidRPr="00A23536" w:rsidRDefault="00996C78" w:rsidP="00AB1891">
      <w:pPr>
        <w:pStyle w:val="Hode"/>
        <w:tabs>
          <w:tab w:val="right" w:pos="9809"/>
        </w:tabs>
        <w:jc w:val="both"/>
      </w:pPr>
    </w:p>
    <w:p w:rsidR="00996C78" w:rsidRPr="00A23536" w:rsidRDefault="00996C78" w:rsidP="00AB1891">
      <w:pPr>
        <w:pStyle w:val="Hode"/>
        <w:tabs>
          <w:tab w:val="right" w:pos="9809"/>
        </w:tabs>
        <w:jc w:val="both"/>
      </w:pPr>
    </w:p>
    <w:p w:rsidR="00996C78" w:rsidRPr="00A23536" w:rsidRDefault="00996C78" w:rsidP="00AB1891">
      <w:pPr>
        <w:pStyle w:val="Hode"/>
        <w:tabs>
          <w:tab w:val="right" w:pos="9809"/>
        </w:tabs>
        <w:jc w:val="both"/>
      </w:pPr>
    </w:p>
    <w:p w:rsidR="00996C78" w:rsidRPr="00A23536" w:rsidRDefault="00996C78" w:rsidP="00AB1891">
      <w:pPr>
        <w:tabs>
          <w:tab w:val="right" w:pos="9809"/>
        </w:tabs>
        <w:jc w:val="both"/>
        <w:rPr>
          <w:b/>
          <w:sz w:val="26"/>
        </w:rPr>
      </w:pPr>
      <w:r w:rsidRPr="00A23536">
        <w:rPr>
          <w:b/>
          <w:sz w:val="26"/>
        </w:rPr>
        <w:t>N O T A T</w:t>
      </w:r>
    </w:p>
    <w:p w:rsidR="00996C78" w:rsidRPr="00A23536" w:rsidRDefault="00996C78" w:rsidP="00AB1891">
      <w:pPr>
        <w:tabs>
          <w:tab w:val="right" w:pos="9809"/>
        </w:tabs>
        <w:jc w:val="both"/>
        <w:rPr>
          <w:b/>
        </w:rPr>
      </w:pPr>
    </w:p>
    <w:p w:rsidR="00996C78" w:rsidRPr="00A23536" w:rsidRDefault="00996C78" w:rsidP="00AB1891">
      <w:pPr>
        <w:tabs>
          <w:tab w:val="left" w:pos="567"/>
          <w:tab w:val="right" w:pos="9809"/>
        </w:tabs>
        <w:jc w:val="both"/>
      </w:pPr>
      <w:r w:rsidRPr="00A23536">
        <w:t>Til:</w:t>
      </w:r>
      <w:r w:rsidRPr="00A23536">
        <w:tab/>
      </w:r>
      <w:r w:rsidR="004E7864" w:rsidRPr="00A23536">
        <w:t>Styret</w:t>
      </w:r>
    </w:p>
    <w:p w:rsidR="00996C78" w:rsidRPr="00A23536" w:rsidRDefault="00996C78" w:rsidP="00AB1891">
      <w:pPr>
        <w:tabs>
          <w:tab w:val="left" w:pos="567"/>
          <w:tab w:val="right" w:pos="9809"/>
        </w:tabs>
        <w:jc w:val="both"/>
      </w:pPr>
      <w:r w:rsidRPr="00A23536">
        <w:t>Fra:</w:t>
      </w:r>
      <w:r w:rsidRPr="00A23536">
        <w:tab/>
      </w:r>
      <w:r w:rsidR="00FC4EEF" w:rsidRPr="00A23536">
        <w:t>Rektor</w:t>
      </w:r>
    </w:p>
    <w:p w:rsidR="00996C78" w:rsidRPr="00A23536" w:rsidRDefault="00996C78" w:rsidP="00AB1891">
      <w:pPr>
        <w:tabs>
          <w:tab w:val="left" w:pos="567"/>
          <w:tab w:val="right" w:pos="9809"/>
        </w:tabs>
        <w:ind w:left="567" w:hanging="567"/>
        <w:jc w:val="both"/>
        <w:rPr>
          <w:b/>
        </w:rPr>
      </w:pPr>
      <w:r w:rsidRPr="00A23536">
        <w:rPr>
          <w:b/>
        </w:rPr>
        <w:t>Om:</w:t>
      </w:r>
      <w:r w:rsidRPr="00A23536">
        <w:rPr>
          <w:b/>
        </w:rPr>
        <w:tab/>
      </w:r>
      <w:bookmarkStart w:id="4" w:name="Om"/>
      <w:bookmarkEnd w:id="4"/>
      <w:r w:rsidR="00731ECB" w:rsidRPr="00A23536">
        <w:rPr>
          <w:b/>
        </w:rPr>
        <w:t>Strategi for EU-finansiert forskning</w:t>
      </w:r>
    </w:p>
    <w:p w:rsidR="00996C78" w:rsidRPr="00A23536" w:rsidRDefault="00996C78" w:rsidP="00AB1891">
      <w:pPr>
        <w:tabs>
          <w:tab w:val="left" w:pos="567"/>
          <w:tab w:val="right" w:pos="9809"/>
        </w:tabs>
        <w:jc w:val="both"/>
      </w:pPr>
    </w:p>
    <w:p w:rsidR="00996C78" w:rsidRPr="00A23536" w:rsidRDefault="00996C78" w:rsidP="00AB1891">
      <w:pPr>
        <w:pBdr>
          <w:top w:val="single" w:sz="6" w:space="1" w:color="auto"/>
        </w:pBdr>
        <w:jc w:val="both"/>
      </w:pPr>
    </w:p>
    <w:p w:rsidR="001155EB" w:rsidRDefault="00A424A5" w:rsidP="00AB1891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ind w:left="357" w:right="-255" w:hanging="357"/>
        <w:rPr>
          <w:rFonts w:ascii="Times New Roman" w:hAnsi="Times New Roman"/>
          <w:b/>
          <w:sz w:val="24"/>
        </w:rPr>
      </w:pPr>
      <w:bookmarkStart w:id="5" w:name="Start"/>
      <w:bookmarkEnd w:id="5"/>
      <w:r w:rsidRPr="00A23536">
        <w:rPr>
          <w:rFonts w:ascii="Times New Roman" w:hAnsi="Times New Roman"/>
          <w:b/>
          <w:sz w:val="24"/>
        </w:rPr>
        <w:t>Ambisjon</w:t>
      </w:r>
      <w:r w:rsidR="001155EB" w:rsidRPr="00A23536">
        <w:rPr>
          <w:rFonts w:ascii="Times New Roman" w:hAnsi="Times New Roman"/>
          <w:b/>
          <w:sz w:val="24"/>
        </w:rPr>
        <w:t xml:space="preserve"> for NTNUs deltakelse i EU-finansiert forskning</w:t>
      </w:r>
    </w:p>
    <w:p w:rsidR="00803D72" w:rsidRDefault="00803D72" w:rsidP="00AB1891">
      <w:pPr>
        <w:shd w:val="clear" w:color="auto" w:fill="FFFFFF"/>
        <w:ind w:right="-256"/>
      </w:pPr>
    </w:p>
    <w:p w:rsidR="0075230B" w:rsidRDefault="00A01E32" w:rsidP="00AB1891">
      <w:pPr>
        <w:shd w:val="clear" w:color="auto" w:fill="FFFFFF"/>
        <w:ind w:right="-256"/>
      </w:pPr>
      <w:r>
        <w:t xml:space="preserve">Styret ba i styreseminar </w:t>
      </w:r>
      <w:r w:rsidRPr="00A01E32">
        <w:t xml:space="preserve">27./28. </w:t>
      </w:r>
      <w:r w:rsidRPr="00BD3E30">
        <w:t xml:space="preserve">august om en redegjørelse for </w:t>
      </w:r>
      <w:r>
        <w:t xml:space="preserve">NTNUs strategi for økt deltakelse i EUs forskningsprogrammer. </w:t>
      </w:r>
      <w:r w:rsidR="0075230B">
        <w:t>Redegjørelsen legges her fram for styret</w:t>
      </w:r>
      <w:r w:rsidR="00BD3E30">
        <w:t xml:space="preserve"> til orientering</w:t>
      </w:r>
      <w:r w:rsidR="0075230B">
        <w:t xml:space="preserve">. </w:t>
      </w:r>
    </w:p>
    <w:p w:rsidR="0075230B" w:rsidRDefault="0075230B" w:rsidP="00AB1891">
      <w:pPr>
        <w:shd w:val="clear" w:color="auto" w:fill="FFFFFF"/>
        <w:ind w:right="-256"/>
      </w:pPr>
    </w:p>
    <w:p w:rsidR="00E60F2A" w:rsidRPr="00A23536" w:rsidRDefault="00E60F2A" w:rsidP="00AB1891">
      <w:pPr>
        <w:shd w:val="clear" w:color="auto" w:fill="FFFFFF"/>
        <w:ind w:right="-256"/>
      </w:pPr>
      <w:r w:rsidRPr="00A23536">
        <w:t>De</w:t>
      </w:r>
      <w:r w:rsidR="00A424A5" w:rsidRPr="00A23536">
        <w:t xml:space="preserve">ltakelse i EUs rammeprogram </w:t>
      </w:r>
      <w:r w:rsidR="00A01E32">
        <w:t xml:space="preserve">for forskning </w:t>
      </w:r>
      <w:r w:rsidR="001155EB" w:rsidRPr="00A23536">
        <w:t xml:space="preserve">og annen EU-finansiert forskning </w:t>
      </w:r>
      <w:r w:rsidRPr="00A23536">
        <w:t>er en hovedprioritet i NTNU internasjonale samarbeid, nedfelt i Internasj</w:t>
      </w:r>
      <w:r w:rsidR="00BD3E30">
        <w:t>onal</w:t>
      </w:r>
      <w:r w:rsidR="00326B53" w:rsidRPr="00A23536">
        <w:t xml:space="preserve"> handlingsplan 2011 – 2014. </w:t>
      </w:r>
    </w:p>
    <w:p w:rsidR="00C25945" w:rsidRPr="00A23536" w:rsidRDefault="00C25945" w:rsidP="00AB1891">
      <w:pPr>
        <w:jc w:val="both"/>
      </w:pPr>
    </w:p>
    <w:p w:rsidR="00E60F2A" w:rsidRPr="00A23536" w:rsidRDefault="0018555D" w:rsidP="00AB1891">
      <w:pPr>
        <w:jc w:val="both"/>
      </w:pPr>
      <w:r w:rsidRPr="00A23536">
        <w:t>NTNUs ledelse har ambisjoner om økt deltakelse i EU</w:t>
      </w:r>
      <w:r w:rsidR="001155EB" w:rsidRPr="00A23536">
        <w:t>-finansiert forskning</w:t>
      </w:r>
      <w:r w:rsidRPr="00A23536">
        <w:t xml:space="preserve">. </w:t>
      </w:r>
      <w:r w:rsidR="00E60F2A" w:rsidRPr="00A23536">
        <w:t xml:space="preserve">Begrunnelsen er at </w:t>
      </w:r>
      <w:r w:rsidR="00E10B15">
        <w:t>de</w:t>
      </w:r>
      <w:r w:rsidR="00E60F2A" w:rsidRPr="00A23536">
        <w:t xml:space="preserve"> </w:t>
      </w:r>
      <w:r w:rsidR="00E10B15">
        <w:t>europeiske forskningsprogrammene</w:t>
      </w:r>
      <w:r w:rsidR="00E60F2A" w:rsidRPr="00A23536">
        <w:t xml:space="preserve"> åpner for deltakelse i den internasjonale kunnskapsfronten og gjennom det, bidrar til kvalitet i vår virksomhet. Norge står for mindre enn 1 % av</w:t>
      </w:r>
      <w:r w:rsidR="00731ECB" w:rsidRPr="00A23536">
        <w:t xml:space="preserve"> verdens totale</w:t>
      </w:r>
      <w:r w:rsidR="00E60F2A" w:rsidRPr="00A23536">
        <w:t xml:space="preserve"> FoU-produksjon, NTNU for enda mindre. Internasjonalt samarbeid er en forutsetning for tilgang til de siste forskningsresultatene, deltakelse i utvikling av ny kunnskap og </w:t>
      </w:r>
      <w:r w:rsidR="00BC19D9" w:rsidRPr="00A23536">
        <w:t>samspill</w:t>
      </w:r>
      <w:r w:rsidR="00E60F2A" w:rsidRPr="00A23536">
        <w:t xml:space="preserve"> med ledende kunnskapsinstitusjoner i Europa og ellers i verden. </w:t>
      </w:r>
    </w:p>
    <w:p w:rsidR="00E60F2A" w:rsidRPr="00A23536" w:rsidRDefault="00E60F2A" w:rsidP="00AB1891">
      <w:pPr>
        <w:jc w:val="both"/>
      </w:pPr>
    </w:p>
    <w:p w:rsidR="00871C43" w:rsidRPr="00A23536" w:rsidRDefault="00E60F2A" w:rsidP="00AB1891">
      <w:pPr>
        <w:jc w:val="both"/>
      </w:pPr>
      <w:r w:rsidRPr="00A23536">
        <w:t xml:space="preserve">EUs 7. </w:t>
      </w:r>
      <w:r w:rsidR="0032560A" w:rsidRPr="00A23536">
        <w:t>rammeprogram</w:t>
      </w:r>
      <w:r w:rsidRPr="00A23536">
        <w:t xml:space="preserve"> </w:t>
      </w:r>
      <w:r w:rsidR="00E10B15">
        <w:t xml:space="preserve">for forskning </w:t>
      </w:r>
      <w:r w:rsidRPr="00A23536">
        <w:t>(FP7)</w:t>
      </w:r>
      <w:r w:rsidR="006D5DCF" w:rsidRPr="00A23536">
        <w:t xml:space="preserve"> (2007 – 2014)</w:t>
      </w:r>
      <w:r w:rsidRPr="00A23536">
        <w:t xml:space="preserve"> er verdens største forskni</w:t>
      </w:r>
      <w:r w:rsidR="00A23536">
        <w:t>ngsprogram med et budsjett på 55</w:t>
      </w:r>
      <w:r w:rsidRPr="00A23536">
        <w:t xml:space="preserve"> m</w:t>
      </w:r>
      <w:r w:rsidR="009220E8" w:rsidRPr="00A23536">
        <w:t>illiarder Euro.</w:t>
      </w:r>
      <w:r w:rsidRPr="00A23536">
        <w:t xml:space="preserve"> Norsk kontingent er på 9 milliarder kroner. Det </w:t>
      </w:r>
      <w:r w:rsidR="001155EB" w:rsidRPr="00A23536">
        <w:t>kommende</w:t>
      </w:r>
      <w:r w:rsidRPr="00A23536">
        <w:t xml:space="preserve"> rammeprogrammet</w:t>
      </w:r>
      <w:r w:rsidR="00462D1C">
        <w:t xml:space="preserve"> for forskning og innovasjon</w:t>
      </w:r>
      <w:r w:rsidRPr="00A23536">
        <w:t xml:space="preserve">, </w:t>
      </w:r>
      <w:r w:rsidR="00803D72">
        <w:t>Horisont 2020</w:t>
      </w:r>
      <w:r w:rsidRPr="00A23536">
        <w:t xml:space="preserve"> (H2020)</w:t>
      </w:r>
      <w:r w:rsidR="006D5DCF" w:rsidRPr="00A23536">
        <w:t xml:space="preserve"> (2014 – 2020)</w:t>
      </w:r>
      <w:r w:rsidR="00E10B15">
        <w:t>,</w:t>
      </w:r>
      <w:r w:rsidR="006D5DCF" w:rsidRPr="00A23536">
        <w:t xml:space="preserve"> </w:t>
      </w:r>
      <w:r w:rsidRPr="00A23536">
        <w:t xml:space="preserve">har et budsjett på </w:t>
      </w:r>
      <w:r w:rsidR="00E10B15">
        <w:t xml:space="preserve">drøyt </w:t>
      </w:r>
      <w:r w:rsidRPr="00A23536">
        <w:t xml:space="preserve">70 milliarder Euro. Norsk kontingent vil bli tilsvarende økt. </w:t>
      </w:r>
      <w:r w:rsidR="00BC19D9" w:rsidRPr="00A23536">
        <w:t xml:space="preserve">I tillegg etableres i økende grad felleseuropeiske programmer med nasjonal finansiering utenfor rammeprogrammene.   </w:t>
      </w:r>
      <w:r w:rsidR="00731ECB" w:rsidRPr="00A23536">
        <w:t xml:space="preserve">  </w:t>
      </w:r>
    </w:p>
    <w:p w:rsidR="009220E8" w:rsidRPr="00A23536" w:rsidRDefault="009220E8" w:rsidP="00AB1891">
      <w:pPr>
        <w:jc w:val="both"/>
      </w:pPr>
    </w:p>
    <w:p w:rsidR="009220E8" w:rsidRPr="00A23536" w:rsidRDefault="009220E8" w:rsidP="00AB1891">
      <w:pPr>
        <w:jc w:val="both"/>
      </w:pPr>
      <w:r w:rsidRPr="00A23536">
        <w:t xml:space="preserve">Inntekten fra EU-finansierte prosjekter </w:t>
      </w:r>
      <w:r w:rsidR="001155EB" w:rsidRPr="00A23536">
        <w:t xml:space="preserve">er en av de variablene som </w:t>
      </w:r>
      <w:r w:rsidRPr="00A23536">
        <w:t xml:space="preserve">danner grunnlag for beregning av </w:t>
      </w:r>
      <w:r w:rsidR="001155EB" w:rsidRPr="00A23536">
        <w:t xml:space="preserve">universitetenes </w:t>
      </w:r>
      <w:r w:rsidR="00921266" w:rsidRPr="00A23536">
        <w:t>inntekt</w:t>
      </w:r>
      <w:r w:rsidRPr="00A23536">
        <w:t xml:space="preserve"> fra KD over den resultatbaserte komponenten på forskning (RBO). Vedlegg </w:t>
      </w:r>
      <w:r w:rsidR="008B2F77" w:rsidRPr="00A23536">
        <w:t>1</w:t>
      </w:r>
      <w:r w:rsidRPr="00A23536">
        <w:t xml:space="preserve"> viser NTNUs andel av RBO </w:t>
      </w:r>
      <w:r w:rsidR="00472257" w:rsidRPr="00A23536">
        <w:t xml:space="preserve">for EU-finansiert forskning </w:t>
      </w:r>
      <w:r w:rsidRPr="00A23536">
        <w:t xml:space="preserve">i 2013 </w:t>
      </w:r>
      <w:r w:rsidR="001155EB" w:rsidRPr="00A23536">
        <w:t xml:space="preserve">(24 %) </w:t>
      </w:r>
      <w:r w:rsidR="00A23536">
        <w:t>og prognose</w:t>
      </w:r>
      <w:r w:rsidRPr="00A23536">
        <w:t xml:space="preserve"> for 2014</w:t>
      </w:r>
      <w:r w:rsidR="001155EB" w:rsidRPr="00A23536">
        <w:t xml:space="preserve"> (25 %)</w:t>
      </w:r>
      <w:r w:rsidRPr="00A23536">
        <w:t xml:space="preserve">.  </w:t>
      </w:r>
    </w:p>
    <w:p w:rsidR="00871C43" w:rsidRPr="00A23536" w:rsidRDefault="00871C43" w:rsidP="00AB1891">
      <w:pPr>
        <w:jc w:val="both"/>
      </w:pPr>
    </w:p>
    <w:p w:rsidR="00871C43" w:rsidRDefault="0032560A" w:rsidP="00AB1891">
      <w:pPr>
        <w:jc w:val="both"/>
      </w:pPr>
      <w:r w:rsidRPr="00A23536">
        <w:t>Men</w:t>
      </w:r>
      <w:r w:rsidR="00E10B15">
        <w:t>,</w:t>
      </w:r>
      <w:r w:rsidRPr="00A23536">
        <w:t xml:space="preserve"> selv</w:t>
      </w:r>
      <w:r w:rsidR="00921266" w:rsidRPr="00A23536">
        <w:t xml:space="preserve"> om det er mye penger knyttet til EU</w:t>
      </w:r>
      <w:r w:rsidR="00B100C8" w:rsidRPr="00A23536">
        <w:t>-finansiert</w:t>
      </w:r>
      <w:r w:rsidR="00921266" w:rsidRPr="00A23536">
        <w:t xml:space="preserve"> forskning, </w:t>
      </w:r>
      <w:r w:rsidR="001155EB" w:rsidRPr="00A23536">
        <w:t xml:space="preserve">er </w:t>
      </w:r>
      <w:r w:rsidR="00921266" w:rsidRPr="00A23536">
        <w:t>det de</w:t>
      </w:r>
      <w:r w:rsidR="001155EB" w:rsidRPr="00A23536">
        <w:t xml:space="preserve"> </w:t>
      </w:r>
      <w:r w:rsidR="00E60F2A" w:rsidRPr="00A23536">
        <w:t>faglige gevinsten</w:t>
      </w:r>
      <w:r w:rsidR="00921266" w:rsidRPr="00A23536">
        <w:t>e</w:t>
      </w:r>
      <w:r w:rsidR="00E60F2A" w:rsidRPr="00A23536">
        <w:t xml:space="preserve"> som er viktig</w:t>
      </w:r>
      <w:r w:rsidR="00A23536">
        <w:t>e</w:t>
      </w:r>
      <w:r w:rsidR="00E60F2A" w:rsidRPr="00A23536">
        <w:t xml:space="preserve"> for NTNUs fagmiljø</w:t>
      </w:r>
      <w:r w:rsidRPr="00A23536">
        <w:t>er, og i mindre grad de</w:t>
      </w:r>
      <w:r w:rsidR="00E60F2A" w:rsidRPr="00A23536">
        <w:t xml:space="preserve"> økonomiske. NTNUs inntekt fra EUs forskningsprogrammer utgjør </w:t>
      </w:r>
      <w:proofErr w:type="spellStart"/>
      <w:r w:rsidR="00921266" w:rsidRPr="00A23536">
        <w:t>ca</w:t>
      </w:r>
      <w:proofErr w:type="spellEnd"/>
      <w:r w:rsidR="00A23536">
        <w:t xml:space="preserve"> 4 % av NTNUs samled</w:t>
      </w:r>
      <w:r w:rsidR="00E60F2A" w:rsidRPr="00A23536">
        <w:t xml:space="preserve">e eksternfinansierte virksomhet, </w:t>
      </w:r>
      <w:r w:rsidR="00535C36" w:rsidRPr="00A23536">
        <w:t>selv om</w:t>
      </w:r>
      <w:r w:rsidR="00E60F2A" w:rsidRPr="00A23536">
        <w:t xml:space="preserve"> totalfinansieringen til de prosjektene NTNU deltar i er det mangedobbelte. </w:t>
      </w:r>
      <w:r w:rsidR="00871C43" w:rsidRPr="00A23536">
        <w:t>Motivasjonen ligger i at ram</w:t>
      </w:r>
      <w:r w:rsidR="001155EB" w:rsidRPr="00A23536">
        <w:t>meprogrammene og andre felleseuropeiske initiativer</w:t>
      </w:r>
      <w:r w:rsidR="00871C43" w:rsidRPr="00A23536">
        <w:t xml:space="preserve"> gir mulighet for samarbeid med de beste forskningsmiljøene internasjonalt. </w:t>
      </w:r>
    </w:p>
    <w:p w:rsidR="00E10B15" w:rsidRDefault="00E10B15" w:rsidP="00AB1891">
      <w:pPr>
        <w:jc w:val="both"/>
      </w:pPr>
    </w:p>
    <w:p w:rsidR="00E10B15" w:rsidRDefault="00E10B15" w:rsidP="00AB1891">
      <w:pPr>
        <w:jc w:val="both"/>
      </w:pPr>
    </w:p>
    <w:p w:rsidR="00E10B15" w:rsidRDefault="00E10B15" w:rsidP="00AB1891">
      <w:pPr>
        <w:jc w:val="both"/>
      </w:pPr>
    </w:p>
    <w:p w:rsidR="00E10B15" w:rsidRPr="00A23536" w:rsidRDefault="00E10B15" w:rsidP="00AB1891">
      <w:pPr>
        <w:jc w:val="both"/>
      </w:pPr>
    </w:p>
    <w:p w:rsidR="00871C43" w:rsidRPr="00A23536" w:rsidRDefault="00871C43" w:rsidP="00AB1891">
      <w:pPr>
        <w:jc w:val="both"/>
      </w:pPr>
    </w:p>
    <w:p w:rsidR="001155EB" w:rsidRDefault="008B2F77" w:rsidP="00AB1891">
      <w:pPr>
        <w:jc w:val="both"/>
        <w:rPr>
          <w:b/>
        </w:rPr>
      </w:pPr>
      <w:r w:rsidRPr="00A23536">
        <w:rPr>
          <w:b/>
        </w:rPr>
        <w:lastRenderedPageBreak/>
        <w:t xml:space="preserve">2.  </w:t>
      </w:r>
      <w:r w:rsidR="001155EB" w:rsidRPr="00A23536">
        <w:rPr>
          <w:b/>
        </w:rPr>
        <w:t>NTNUs deltakelse i FP7</w:t>
      </w:r>
    </w:p>
    <w:p w:rsidR="00AB1891" w:rsidRPr="00A23536" w:rsidRDefault="00AB1891" w:rsidP="00AB1891">
      <w:pPr>
        <w:jc w:val="both"/>
        <w:rPr>
          <w:b/>
        </w:rPr>
      </w:pPr>
    </w:p>
    <w:p w:rsidR="0013374B" w:rsidRPr="00A23536" w:rsidRDefault="00E60F2A" w:rsidP="00AB1891">
      <w:pPr>
        <w:jc w:val="both"/>
      </w:pPr>
      <w:r w:rsidRPr="00A23536">
        <w:t>FP7 løper i perioden 2007 –</w:t>
      </w:r>
      <w:r w:rsidR="008B2F77" w:rsidRPr="00A23536">
        <w:t xml:space="preserve"> 2014. D</w:t>
      </w:r>
      <w:r w:rsidRPr="00A23536">
        <w:t xml:space="preserve">e siste utlysningene </w:t>
      </w:r>
      <w:r w:rsidR="008B2F77" w:rsidRPr="00A23536">
        <w:t xml:space="preserve">fra programmet </w:t>
      </w:r>
      <w:r w:rsidRPr="00A23536">
        <w:t xml:space="preserve">er </w:t>
      </w:r>
      <w:r w:rsidR="00A424A5" w:rsidRPr="00A23536">
        <w:t xml:space="preserve">nylig </w:t>
      </w:r>
      <w:r w:rsidRPr="00A23536">
        <w:t xml:space="preserve">lukket. </w:t>
      </w:r>
      <w:r w:rsidR="00EB793E" w:rsidRPr="00A23536">
        <w:t xml:space="preserve">NTNU er Norges tredje største aktør i FP7 etter SINTEF og UiO. </w:t>
      </w:r>
      <w:r w:rsidR="0013374B" w:rsidRPr="00A23536">
        <w:t xml:space="preserve">Vedlegg </w:t>
      </w:r>
      <w:r w:rsidR="008B2F77" w:rsidRPr="00A23536">
        <w:t>2</w:t>
      </w:r>
      <w:r w:rsidR="0013374B" w:rsidRPr="00A23536">
        <w:t xml:space="preserve"> gir en oversikt over NTNUs deltakelse i FP7</w:t>
      </w:r>
      <w:r w:rsidR="008B2F77" w:rsidRPr="00A23536">
        <w:t xml:space="preserve"> og en </w:t>
      </w:r>
      <w:r w:rsidR="0013374B" w:rsidRPr="00A23536">
        <w:t xml:space="preserve">sammenligning </w:t>
      </w:r>
      <w:r w:rsidR="008B2F77" w:rsidRPr="00A23536">
        <w:t>av</w:t>
      </w:r>
      <w:r w:rsidR="0013374B" w:rsidRPr="00A23536">
        <w:t xml:space="preserve"> NTNUs deltakelse med </w:t>
      </w:r>
      <w:r w:rsidR="008B2F77" w:rsidRPr="00A23536">
        <w:t>andre nasjonale aktører</w:t>
      </w:r>
      <w:r w:rsidR="00EB793E" w:rsidRPr="00A23536">
        <w:t xml:space="preserve">. </w:t>
      </w:r>
    </w:p>
    <w:p w:rsidR="006D5DCF" w:rsidRPr="00A23536" w:rsidRDefault="006D5DCF" w:rsidP="00AB1891">
      <w:pPr>
        <w:jc w:val="both"/>
      </w:pPr>
    </w:p>
    <w:p w:rsidR="004C4D22" w:rsidRPr="00A23536" w:rsidRDefault="006D5DCF" w:rsidP="00AB1891">
      <w:pPr>
        <w:jc w:val="both"/>
      </w:pPr>
      <w:r w:rsidRPr="00A23536">
        <w:t xml:space="preserve">I Internasjonal handlingsplan er målet </w:t>
      </w:r>
      <w:r w:rsidR="00A424A5" w:rsidRPr="00A23536">
        <w:t>en samlet bevilgning</w:t>
      </w:r>
      <w:r w:rsidRPr="00A23536">
        <w:t xml:space="preserve"> til NTNU fra FP7 på totalt 450 millioner kroner for hele rammeprogramperioden. Dette m</w:t>
      </w:r>
      <w:r w:rsidR="004C4D22" w:rsidRPr="00A23536">
        <w:t>ålet oppfylles (</w:t>
      </w:r>
      <w:r w:rsidR="008B2F77" w:rsidRPr="00A23536">
        <w:t>jfr.</w:t>
      </w:r>
      <w:r w:rsidR="004C4D22" w:rsidRPr="00A23536">
        <w:t xml:space="preserve"> vedlegg </w:t>
      </w:r>
      <w:r w:rsidR="008B2F77" w:rsidRPr="00A23536">
        <w:t>2</w:t>
      </w:r>
      <w:r w:rsidR="004C4D22" w:rsidRPr="00A23536">
        <w:t>, figur 1</w:t>
      </w:r>
      <w:r w:rsidRPr="00A23536">
        <w:t xml:space="preserve">). </w:t>
      </w:r>
      <w:r w:rsidR="004C4D22" w:rsidRPr="00A23536">
        <w:t xml:space="preserve">Bevilgningene til NTNU fra rammeprogrammet pr september 2013 er beregnet til 467 millioner kroner. </w:t>
      </w:r>
    </w:p>
    <w:p w:rsidR="00885F80" w:rsidRDefault="00885F80" w:rsidP="00AB1891">
      <w:pPr>
        <w:jc w:val="both"/>
      </w:pPr>
    </w:p>
    <w:p w:rsidR="00B10EE8" w:rsidRPr="00A23536" w:rsidRDefault="006D5DCF" w:rsidP="00AB1891">
      <w:pPr>
        <w:jc w:val="both"/>
      </w:pPr>
      <w:r w:rsidRPr="00A23536">
        <w:t xml:space="preserve">Andre </w:t>
      </w:r>
      <w:proofErr w:type="spellStart"/>
      <w:r w:rsidRPr="00A23536">
        <w:t>måleparametre</w:t>
      </w:r>
      <w:proofErr w:type="spellEnd"/>
      <w:r w:rsidRPr="00A23536">
        <w:t xml:space="preserve"> for NTNUs deltakelse i FP7 benyttes også kontinuerlig </w:t>
      </w:r>
      <w:r w:rsidR="004C4D22" w:rsidRPr="00A23536">
        <w:t xml:space="preserve">som styringsverktøy </w:t>
      </w:r>
      <w:r w:rsidRPr="00A23536">
        <w:t xml:space="preserve">og </w:t>
      </w:r>
      <w:r w:rsidR="004C4D22" w:rsidRPr="00A23536">
        <w:t>brytes n</w:t>
      </w:r>
      <w:r w:rsidRPr="00A23536">
        <w:t>ed på fakultet og institutt</w:t>
      </w:r>
      <w:r w:rsidRPr="00A23536">
        <w:rPr>
          <w:szCs w:val="24"/>
        </w:rPr>
        <w:t>.</w:t>
      </w:r>
      <w:r w:rsidR="00D05AA3" w:rsidRPr="00A23536">
        <w:rPr>
          <w:szCs w:val="24"/>
        </w:rPr>
        <w:t xml:space="preserve"> Vurderingen er at v</w:t>
      </w:r>
      <w:r w:rsidR="008B2F77" w:rsidRPr="00A23536">
        <w:rPr>
          <w:szCs w:val="24"/>
        </w:rPr>
        <w:t>i kan være fornøyd med at inntektsmålet som ble satt oppnås</w:t>
      </w:r>
      <w:r w:rsidR="00D05AA3" w:rsidRPr="00A23536">
        <w:rPr>
          <w:szCs w:val="24"/>
        </w:rPr>
        <w:t xml:space="preserve"> og at </w:t>
      </w:r>
      <w:r w:rsidR="008B2F77" w:rsidRPr="00A23536">
        <w:t xml:space="preserve">NTNU har oppnådd er godt resultat </w:t>
      </w:r>
      <w:r w:rsidR="00D05AA3" w:rsidRPr="00A23536">
        <w:t>i FP7 i en nasjonal kontekst</w:t>
      </w:r>
      <w:r w:rsidR="00B10EE8" w:rsidRPr="00A23536">
        <w:t xml:space="preserve"> </w:t>
      </w:r>
      <w:proofErr w:type="spellStart"/>
      <w:r w:rsidR="00B10EE8" w:rsidRPr="00A23536">
        <w:t>mhp</w:t>
      </w:r>
      <w:proofErr w:type="spellEnd"/>
      <w:r w:rsidR="00B10EE8" w:rsidRPr="00A23536">
        <w:t xml:space="preserve"> antall prosjektdeltakelser. </w:t>
      </w:r>
      <w:r w:rsidR="00CB764C" w:rsidRPr="00A23536">
        <w:t xml:space="preserve"> </w:t>
      </w:r>
    </w:p>
    <w:p w:rsidR="00B10EE8" w:rsidRPr="00A23536" w:rsidRDefault="00B10EE8" w:rsidP="00AB1891">
      <w:pPr>
        <w:jc w:val="both"/>
      </w:pPr>
    </w:p>
    <w:p w:rsidR="00B100C8" w:rsidRPr="00A23536" w:rsidRDefault="00B10EE8" w:rsidP="00AB1891">
      <w:pPr>
        <w:jc w:val="both"/>
      </w:pPr>
      <w:r w:rsidRPr="00A23536">
        <w:t>R</w:t>
      </w:r>
      <w:r w:rsidR="008B2F77" w:rsidRPr="00A23536">
        <w:t xml:space="preserve">esultatet er </w:t>
      </w:r>
      <w:r w:rsidR="00D05AA3" w:rsidRPr="00A23536">
        <w:t xml:space="preserve">imidlertid </w:t>
      </w:r>
      <w:r w:rsidR="008B2F77" w:rsidRPr="00A23536">
        <w:t xml:space="preserve">ikke like imponerende i en </w:t>
      </w:r>
      <w:r w:rsidR="00E915DC" w:rsidRPr="00A23536">
        <w:t>europeisk</w:t>
      </w:r>
      <w:r w:rsidR="008B2F77" w:rsidRPr="00A23536">
        <w:t xml:space="preserve"> sammenheng. </w:t>
      </w:r>
      <w:proofErr w:type="spellStart"/>
      <w:r w:rsidR="00D05AA3" w:rsidRPr="00A23536">
        <w:t>Ca</w:t>
      </w:r>
      <w:proofErr w:type="spellEnd"/>
      <w:r w:rsidR="00D05AA3" w:rsidRPr="00A23536">
        <w:t xml:space="preserve"> 120 prosjekter i FP7 </w:t>
      </w:r>
      <w:r w:rsidR="00B100C8" w:rsidRPr="00A23536">
        <w:t>er bra, men det er langt færre enn mange av de europeiske universitetene vi samarbeider med.</w:t>
      </w:r>
      <w:r w:rsidRPr="00A23536">
        <w:t xml:space="preserve"> E</w:t>
      </w:r>
      <w:r w:rsidR="00E10B15">
        <w:t xml:space="preserve">n sammenligning med </w:t>
      </w:r>
      <w:proofErr w:type="spellStart"/>
      <w:r w:rsidR="00E10B15">
        <w:t>NordicFive</w:t>
      </w:r>
      <w:r w:rsidR="00CB764C" w:rsidRPr="00A23536">
        <w:t>Tech</w:t>
      </w:r>
      <w:proofErr w:type="spellEnd"/>
      <w:r w:rsidR="00CB764C" w:rsidRPr="00A23536">
        <w:t>-</w:t>
      </w:r>
      <w:r w:rsidRPr="00A23536">
        <w:t xml:space="preserve">institusjonene viser </w:t>
      </w:r>
      <w:r w:rsidR="00CB764C" w:rsidRPr="00A23536">
        <w:t xml:space="preserve">f eks </w:t>
      </w:r>
      <w:r w:rsidRPr="00A23536">
        <w:t>at DTU har 300 prosjekter i FP7, KTH 244 og Chalmers 214. Tallene er ikke direkte sammenlignbare med NTNUs ettersom de er fra februar 2013 og våre tall fra september 2013. September-tall for de andre nordiske institusjonen</w:t>
      </w:r>
      <w:r w:rsidR="00E10B15">
        <w:t>e</w:t>
      </w:r>
      <w:r w:rsidRPr="00A23536">
        <w:t xml:space="preserve"> ville vist en enda større forskjell i antall</w:t>
      </w:r>
      <w:r w:rsidR="003E0B54">
        <w:t xml:space="preserve"> prosjektdeltakelse. Se tabell 7</w:t>
      </w:r>
      <w:r w:rsidRPr="00A23536">
        <w:t xml:space="preserve"> i vedlegg 2 for en liste over de </w:t>
      </w:r>
      <w:r w:rsidR="00050B04" w:rsidRPr="00A23536">
        <w:t xml:space="preserve">50 </w:t>
      </w:r>
      <w:r w:rsidRPr="00A23536">
        <w:t>universitetene med flest prosjektdeltakelse</w:t>
      </w:r>
      <w:r w:rsidR="00317AD0">
        <w:t>r</w:t>
      </w:r>
      <w:r w:rsidRPr="00A23536">
        <w:t xml:space="preserve"> i FP7.   </w:t>
      </w:r>
    </w:p>
    <w:p w:rsidR="00B100C8" w:rsidRPr="00A23536" w:rsidRDefault="00B100C8" w:rsidP="00AB1891">
      <w:pPr>
        <w:jc w:val="both"/>
      </w:pPr>
    </w:p>
    <w:p w:rsidR="00050B04" w:rsidRPr="00A23536" w:rsidRDefault="00E915DC" w:rsidP="00AB1891">
      <w:pPr>
        <w:jc w:val="both"/>
      </w:pPr>
      <w:r w:rsidRPr="00A23536">
        <w:t>NTNUs tilslagsprosent</w:t>
      </w:r>
      <w:r w:rsidR="00B10EE8" w:rsidRPr="00A23536">
        <w:t xml:space="preserve"> </w:t>
      </w:r>
      <w:r w:rsidR="008B2F77" w:rsidRPr="00A23536">
        <w:t xml:space="preserve">er </w:t>
      </w:r>
      <w:r w:rsidR="00D05AA3" w:rsidRPr="00A23536">
        <w:t xml:space="preserve">relativt </w:t>
      </w:r>
      <w:r w:rsidR="008B2F77" w:rsidRPr="00A23536">
        <w:t xml:space="preserve">lav sammenlignet med andre institusjoner vi ønsker å sammenligne oss med. </w:t>
      </w:r>
      <w:r w:rsidRPr="00A23536">
        <w:t>En tilslagsprosent på 17,5 %</w:t>
      </w:r>
      <w:r w:rsidR="00B10EE8" w:rsidRPr="00A23536">
        <w:t xml:space="preserve"> er 2 % lavere enn snittet for de norske universitetene. </w:t>
      </w:r>
      <w:r w:rsidR="00050B04" w:rsidRPr="00A23536">
        <w:t xml:space="preserve">Tabell 1 i vedlegg 2 viser at tilslagsprosenten har variert betydelig fra år til år. </w:t>
      </w:r>
      <w:r w:rsidRPr="00A23536">
        <w:t xml:space="preserve">Tallmaterialet viser </w:t>
      </w:r>
      <w:r w:rsidR="00A23536">
        <w:t>også</w:t>
      </w:r>
      <w:r w:rsidRPr="00A23536">
        <w:t xml:space="preserve"> at det er store</w:t>
      </w:r>
      <w:r w:rsidR="00050B04" w:rsidRPr="00A23536">
        <w:t xml:space="preserve"> forskjeller mellom fakulteter </w:t>
      </w:r>
      <w:r w:rsidRPr="00A23536">
        <w:t xml:space="preserve">ved NTNU. </w:t>
      </w:r>
      <w:r w:rsidR="00050B04" w:rsidRPr="00A23536">
        <w:t>HF-fakultetet har deltatt i 35 søknader, fått 1 prosjekt og har en suksessrate på 3 %. DMF har den høyeste suksessraten med 34 % baser</w:t>
      </w:r>
      <w:r w:rsidR="00B74964">
        <w:t>t på 67 søknader og 23 innvilge</w:t>
      </w:r>
      <w:r w:rsidR="00050B04" w:rsidRPr="00A23536">
        <w:t xml:space="preserve">de prosjekter. </w:t>
      </w:r>
      <w:r w:rsidR="00B74964">
        <w:t>IVT er det fakultetet med flest</w:t>
      </w:r>
      <w:r w:rsidR="00050B04" w:rsidRPr="00A23536">
        <w:t xml:space="preserve"> prosjektdeltakelser i FP7 ved NTNU med 35 </w:t>
      </w:r>
      <w:r w:rsidR="00CB764C" w:rsidRPr="00A23536">
        <w:t xml:space="preserve">prosjekter </w:t>
      </w:r>
      <w:r w:rsidR="00050B04" w:rsidRPr="00A23536">
        <w:t>og med en suksessrate på 29 %. (Figur 4 og tabell 2 i vedlegg 2.)</w:t>
      </w:r>
      <w:r w:rsidR="000D2B32" w:rsidRPr="00A23536">
        <w:t xml:space="preserve"> </w:t>
      </w:r>
      <w:r w:rsidR="00050B04" w:rsidRPr="00A23536">
        <w:t xml:space="preserve">Vi ser også store forskjeller mellom programmene i FP7, jfr. tabell 3 i vedlegg 2. </w:t>
      </w:r>
    </w:p>
    <w:p w:rsidR="00B10EE8" w:rsidRDefault="00B10EE8" w:rsidP="00AB1891">
      <w:pPr>
        <w:jc w:val="both"/>
      </w:pPr>
    </w:p>
    <w:p w:rsidR="00E10B15" w:rsidRPr="00A23536" w:rsidRDefault="00E10B15" w:rsidP="00AB1891">
      <w:pPr>
        <w:jc w:val="both"/>
      </w:pPr>
    </w:p>
    <w:p w:rsidR="0013374B" w:rsidRDefault="00CB764C" w:rsidP="00AB1891">
      <w:pPr>
        <w:pStyle w:val="Listeavsnit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A23536">
        <w:rPr>
          <w:rFonts w:ascii="Times New Roman" w:hAnsi="Times New Roman"/>
          <w:b/>
          <w:sz w:val="24"/>
        </w:rPr>
        <w:t>Institusjonelle virkemidler for EU-finansier forskning</w:t>
      </w:r>
    </w:p>
    <w:p w:rsidR="00AB1891" w:rsidRDefault="00AB1891" w:rsidP="00AB1891">
      <w:pPr>
        <w:pStyle w:val="Listeavsnitt"/>
        <w:spacing w:after="0" w:line="240" w:lineRule="auto"/>
        <w:ind w:left="357"/>
        <w:jc w:val="both"/>
        <w:rPr>
          <w:rFonts w:ascii="Times New Roman" w:hAnsi="Times New Roman"/>
          <w:b/>
          <w:sz w:val="24"/>
        </w:rPr>
      </w:pPr>
    </w:p>
    <w:p w:rsidR="005D25E7" w:rsidRPr="00A23536" w:rsidRDefault="005D25E7" w:rsidP="00AB1891">
      <w:pPr>
        <w:jc w:val="both"/>
        <w:rPr>
          <w:szCs w:val="24"/>
        </w:rPr>
      </w:pPr>
      <w:r w:rsidRPr="00A23536">
        <w:t xml:space="preserve">NTNU har </w:t>
      </w:r>
      <w:r w:rsidR="00DD5405" w:rsidRPr="00A23536">
        <w:t xml:space="preserve">omfattende </w:t>
      </w:r>
      <w:r w:rsidR="00072D0A">
        <w:t>støtte</w:t>
      </w:r>
      <w:r w:rsidRPr="00A23536">
        <w:t xml:space="preserve"> for fagmiljøer som </w:t>
      </w:r>
      <w:r w:rsidR="0075230B">
        <w:t>ønsker å</w:t>
      </w:r>
      <w:r w:rsidR="0075230B" w:rsidRPr="00A23536">
        <w:t xml:space="preserve"> </w:t>
      </w:r>
      <w:r w:rsidRPr="00A23536">
        <w:t>delta i EUs rammeprogram eller rand</w:t>
      </w:r>
      <w:r w:rsidR="0032560A" w:rsidRPr="00A23536">
        <w:t>soneprogram</w:t>
      </w:r>
      <w:r w:rsidRPr="00A23536">
        <w:t xml:space="preserve">. </w:t>
      </w:r>
      <w:r w:rsidRPr="00A23536">
        <w:rPr>
          <w:szCs w:val="24"/>
        </w:rPr>
        <w:t xml:space="preserve">Handlingsplaner for EU-finansiert forskning med en rekke virkemidler, et administrativt støtteapparat for EU-finansiert forskning, ledelsesoppmerksomhet gjennom </w:t>
      </w:r>
      <w:r w:rsidR="00A424A5" w:rsidRPr="00A23536">
        <w:rPr>
          <w:szCs w:val="24"/>
        </w:rPr>
        <w:t xml:space="preserve">kontinuerlige </w:t>
      </w:r>
      <w:r w:rsidRPr="00A23536">
        <w:rPr>
          <w:szCs w:val="24"/>
        </w:rPr>
        <w:t>prosesser på alle nivåer i organisasjonen</w:t>
      </w:r>
      <w:r w:rsidR="00A262DD">
        <w:rPr>
          <w:szCs w:val="24"/>
        </w:rPr>
        <w:t>,</w:t>
      </w:r>
      <w:r w:rsidRPr="00A23536">
        <w:rPr>
          <w:szCs w:val="24"/>
        </w:rPr>
        <w:t xml:space="preserve"> og løpende </w:t>
      </w:r>
      <w:r w:rsidR="009F44A1" w:rsidRPr="00A23536">
        <w:rPr>
          <w:szCs w:val="24"/>
        </w:rPr>
        <w:t xml:space="preserve">og skreddersydd </w:t>
      </w:r>
      <w:r w:rsidRPr="00A23536">
        <w:rPr>
          <w:szCs w:val="24"/>
        </w:rPr>
        <w:t xml:space="preserve">informasjon i </w:t>
      </w:r>
      <w:r w:rsidR="00D370E5" w:rsidRPr="00A23536">
        <w:rPr>
          <w:szCs w:val="24"/>
        </w:rPr>
        <w:t>fakulteter, institutter, forskergrupper, sentra og satsingsområder skal bidra til politisk-strategisk oppmerksomhet, mobilisering og motivasjon</w:t>
      </w:r>
      <w:r w:rsidR="00381BF6" w:rsidRPr="00A23536">
        <w:rPr>
          <w:szCs w:val="24"/>
        </w:rPr>
        <w:t>,</w:t>
      </w:r>
      <w:r w:rsidR="00D370E5" w:rsidRPr="00A23536">
        <w:rPr>
          <w:szCs w:val="24"/>
        </w:rPr>
        <w:t xml:space="preserve"> og praktisk støtte i søknads- og prosjektfase.</w:t>
      </w:r>
    </w:p>
    <w:p w:rsidR="005D25E7" w:rsidRPr="00A23536" w:rsidRDefault="005D25E7" w:rsidP="00AB1891">
      <w:pPr>
        <w:jc w:val="both"/>
      </w:pPr>
    </w:p>
    <w:p w:rsidR="00D370E5" w:rsidRPr="00A23536" w:rsidRDefault="00D370E5" w:rsidP="00AB1891">
      <w:pPr>
        <w:jc w:val="both"/>
        <w:rPr>
          <w:szCs w:val="24"/>
        </w:rPr>
      </w:pPr>
      <w:r w:rsidRPr="00A23536">
        <w:rPr>
          <w:szCs w:val="24"/>
        </w:rPr>
        <w:t xml:space="preserve">Inneværende handlingsplan for EU-finansiert forskning </w:t>
      </w:r>
      <w:r w:rsidR="00A424A5" w:rsidRPr="00A23536">
        <w:rPr>
          <w:szCs w:val="24"/>
        </w:rPr>
        <w:t>for</w:t>
      </w:r>
      <w:r w:rsidRPr="00A23536">
        <w:rPr>
          <w:szCs w:val="24"/>
        </w:rPr>
        <w:t xml:space="preserve"> perioden 2011 – 2013 har et årlig budsjett på 4 millioner kroner, hvorav 2 millioner utløser tilsvarende fra Forskningsrådet i prosjektetableringsstøtte (PES). </w:t>
      </w:r>
      <w:r w:rsidR="00A262DD" w:rsidRPr="00A23536">
        <w:rPr>
          <w:szCs w:val="24"/>
        </w:rPr>
        <w:t>PES</w:t>
      </w:r>
      <w:r w:rsidR="00B74964">
        <w:rPr>
          <w:szCs w:val="24"/>
        </w:rPr>
        <w:t>-ordningen gir økonomisk støtte</w:t>
      </w:r>
      <w:r w:rsidR="00A262DD" w:rsidRPr="00A23536">
        <w:rPr>
          <w:szCs w:val="24"/>
        </w:rPr>
        <w:t xml:space="preserve"> til å utvikle søknaden.</w:t>
      </w:r>
      <w:r w:rsidR="00A262DD">
        <w:rPr>
          <w:szCs w:val="24"/>
        </w:rPr>
        <w:t xml:space="preserve"> </w:t>
      </w:r>
      <w:r w:rsidR="009F44A1" w:rsidRPr="00A23536">
        <w:rPr>
          <w:szCs w:val="24"/>
        </w:rPr>
        <w:t>Posisjoneringsmidler støtte</w:t>
      </w:r>
      <w:r w:rsidR="00DD5405" w:rsidRPr="00A23536">
        <w:rPr>
          <w:szCs w:val="24"/>
        </w:rPr>
        <w:t>r</w:t>
      </w:r>
      <w:r w:rsidR="009F44A1" w:rsidRPr="00A23536">
        <w:rPr>
          <w:szCs w:val="24"/>
        </w:rPr>
        <w:t xml:space="preserve"> medlemskap i europeiske teknologiplattformer</w:t>
      </w:r>
      <w:r w:rsidR="00381BF6" w:rsidRPr="00A23536">
        <w:rPr>
          <w:szCs w:val="24"/>
        </w:rPr>
        <w:t xml:space="preserve"> og andre europeiske nettverk og allianser. </w:t>
      </w:r>
      <w:r w:rsidR="009F44A1" w:rsidRPr="00A23536">
        <w:rPr>
          <w:szCs w:val="24"/>
        </w:rPr>
        <w:t>Årlige</w:t>
      </w:r>
      <w:r w:rsidRPr="00A23536">
        <w:rPr>
          <w:szCs w:val="24"/>
        </w:rPr>
        <w:t xml:space="preserve"> </w:t>
      </w:r>
      <w:r w:rsidR="009F44A1" w:rsidRPr="00A23536">
        <w:rPr>
          <w:szCs w:val="24"/>
        </w:rPr>
        <w:t xml:space="preserve">EU Training </w:t>
      </w:r>
      <w:proofErr w:type="spellStart"/>
      <w:r w:rsidR="009F44A1" w:rsidRPr="00A23536">
        <w:rPr>
          <w:szCs w:val="24"/>
        </w:rPr>
        <w:t>Programmes</w:t>
      </w:r>
      <w:proofErr w:type="spellEnd"/>
      <w:r w:rsidR="009F44A1" w:rsidRPr="00A23536">
        <w:rPr>
          <w:szCs w:val="24"/>
        </w:rPr>
        <w:t xml:space="preserve"> støtter forskergrupper som skal søke </w:t>
      </w:r>
      <w:r w:rsidR="00381BF6" w:rsidRPr="00A23536">
        <w:rPr>
          <w:szCs w:val="24"/>
        </w:rPr>
        <w:t xml:space="preserve">EU </w:t>
      </w:r>
      <w:r w:rsidR="009F44A1" w:rsidRPr="00A23536">
        <w:rPr>
          <w:szCs w:val="24"/>
        </w:rPr>
        <w:t xml:space="preserve">gjennom flere </w:t>
      </w:r>
      <w:r w:rsidR="00381BF6" w:rsidRPr="00A23536">
        <w:rPr>
          <w:szCs w:val="24"/>
        </w:rPr>
        <w:t>moduler</w:t>
      </w:r>
      <w:r w:rsidR="009F44A1" w:rsidRPr="00A23536">
        <w:rPr>
          <w:szCs w:val="24"/>
        </w:rPr>
        <w:t>. Avtaler med eksterne eksperter g</w:t>
      </w:r>
      <w:r w:rsidR="00381BF6" w:rsidRPr="00A23536">
        <w:rPr>
          <w:szCs w:val="24"/>
        </w:rPr>
        <w:t xml:space="preserve">ir støtte i søknadsutformingen. Oppstartsmøter legger planer for </w:t>
      </w:r>
      <w:r w:rsidR="0075230B" w:rsidRPr="00A23536">
        <w:rPr>
          <w:szCs w:val="24"/>
        </w:rPr>
        <w:t>både søknadsfasen og prosjektfasen</w:t>
      </w:r>
      <w:r w:rsidR="00381BF6" w:rsidRPr="00A23536">
        <w:rPr>
          <w:szCs w:val="24"/>
        </w:rPr>
        <w:t xml:space="preserve">.  </w:t>
      </w:r>
    </w:p>
    <w:p w:rsidR="005D25E7" w:rsidRPr="00A23536" w:rsidRDefault="005D25E7" w:rsidP="00AB1891">
      <w:pPr>
        <w:jc w:val="both"/>
      </w:pPr>
    </w:p>
    <w:p w:rsidR="00381BF6" w:rsidRPr="00A23536" w:rsidRDefault="00381BF6" w:rsidP="00AB1891">
      <w:pPr>
        <w:jc w:val="both"/>
        <w:rPr>
          <w:szCs w:val="24"/>
        </w:rPr>
      </w:pPr>
      <w:r w:rsidRPr="00A23536">
        <w:rPr>
          <w:szCs w:val="24"/>
        </w:rPr>
        <w:lastRenderedPageBreak/>
        <w:t xml:space="preserve">For FP7 er det etablert en incentivordning som innebærer at de som er partner i et EU-prosjekt får en tilleggsfinansiering på 15 % av bevilgningen fra EU fra NTNU, mens de som koordinerer et EU-prosjekt får 25 %. De som koordinerer eller får innvilget et ERC-prosjekt får dessuten en </w:t>
      </w:r>
      <w:proofErr w:type="spellStart"/>
      <w:r w:rsidRPr="00A23536">
        <w:rPr>
          <w:szCs w:val="24"/>
        </w:rPr>
        <w:t>ph.d</w:t>
      </w:r>
      <w:proofErr w:type="spellEnd"/>
      <w:r w:rsidRPr="00A23536">
        <w:rPr>
          <w:szCs w:val="24"/>
        </w:rPr>
        <w:t xml:space="preserve">.- eller post </w:t>
      </w:r>
      <w:proofErr w:type="spellStart"/>
      <w:r w:rsidRPr="00A23536">
        <w:rPr>
          <w:szCs w:val="24"/>
        </w:rPr>
        <w:t>doc</w:t>
      </w:r>
      <w:proofErr w:type="spellEnd"/>
      <w:r w:rsidR="00DD5405" w:rsidRPr="00A23536">
        <w:rPr>
          <w:szCs w:val="24"/>
        </w:rPr>
        <w:t>.</w:t>
      </w:r>
      <w:r w:rsidRPr="00A23536">
        <w:rPr>
          <w:szCs w:val="24"/>
        </w:rPr>
        <w:t xml:space="preserve">-stilling fra sitt fakultet. Insentivmidlene er i praksis en intern omfordeling av midler til fordel for de forskergruppene som deltar i EU-prosjekter og trekkes fra fakultetenes bevilgninger. </w:t>
      </w:r>
    </w:p>
    <w:p w:rsidR="00E255C1" w:rsidRPr="00A23536" w:rsidRDefault="00E255C1" w:rsidP="00AB1891">
      <w:pPr>
        <w:jc w:val="both"/>
        <w:rPr>
          <w:szCs w:val="24"/>
        </w:rPr>
      </w:pPr>
    </w:p>
    <w:p w:rsidR="00E255C1" w:rsidRPr="00A23536" w:rsidRDefault="00E255C1" w:rsidP="00AB1891">
      <w:pPr>
        <w:jc w:val="both"/>
        <w:rPr>
          <w:szCs w:val="24"/>
        </w:rPr>
      </w:pPr>
      <w:r w:rsidRPr="00A23536">
        <w:rPr>
          <w:szCs w:val="24"/>
        </w:rPr>
        <w:t xml:space="preserve">Det administrative støtteapparatet for EU-finansiert forskning er bygd opp </w:t>
      </w:r>
      <w:r w:rsidR="00381BF6" w:rsidRPr="00A23536">
        <w:rPr>
          <w:szCs w:val="24"/>
        </w:rPr>
        <w:t>gjennom flere</w:t>
      </w:r>
      <w:r w:rsidRPr="00A23536">
        <w:rPr>
          <w:szCs w:val="24"/>
        </w:rPr>
        <w:t xml:space="preserve"> </w:t>
      </w:r>
      <w:r w:rsidR="0032560A" w:rsidRPr="00A23536">
        <w:rPr>
          <w:szCs w:val="24"/>
        </w:rPr>
        <w:t>år</w:t>
      </w:r>
      <w:r w:rsidRPr="00A23536">
        <w:rPr>
          <w:szCs w:val="24"/>
        </w:rPr>
        <w:t xml:space="preserve"> og det </w:t>
      </w:r>
      <w:r w:rsidR="00381BF6" w:rsidRPr="00A23536">
        <w:rPr>
          <w:szCs w:val="24"/>
        </w:rPr>
        <w:t>fins</w:t>
      </w:r>
      <w:r w:rsidRPr="00A23536">
        <w:rPr>
          <w:szCs w:val="24"/>
        </w:rPr>
        <w:t xml:space="preserve"> nå EU-rådgivere ved alle fakulteter. I tillegg kommer sentrale administrative ressurser, 3 stillinger i rektor</w:t>
      </w:r>
      <w:r w:rsidR="00BD7747" w:rsidRPr="00A23536">
        <w:rPr>
          <w:szCs w:val="24"/>
        </w:rPr>
        <w:t>s stab</w:t>
      </w:r>
      <w:r w:rsidRPr="00A23536">
        <w:rPr>
          <w:szCs w:val="24"/>
        </w:rPr>
        <w:t xml:space="preserve">, 6 økonomer i en dedikert </w:t>
      </w:r>
      <w:r w:rsidR="00A262DD">
        <w:rPr>
          <w:szCs w:val="24"/>
        </w:rPr>
        <w:t>EU-</w:t>
      </w:r>
      <w:r w:rsidRPr="00A23536">
        <w:rPr>
          <w:szCs w:val="24"/>
        </w:rPr>
        <w:t>gruppe i Økonomiavdelingen og 1 juris</w:t>
      </w:r>
      <w:r w:rsidR="00381BF6" w:rsidRPr="00A23536">
        <w:rPr>
          <w:szCs w:val="24"/>
        </w:rPr>
        <w:t>t</w:t>
      </w:r>
      <w:r w:rsidRPr="00A23536">
        <w:rPr>
          <w:szCs w:val="24"/>
        </w:rPr>
        <w:t>.</w:t>
      </w:r>
      <w:r w:rsidR="00320DD7" w:rsidRPr="00A23536">
        <w:rPr>
          <w:szCs w:val="24"/>
        </w:rPr>
        <w:t xml:space="preserve"> </w:t>
      </w:r>
      <w:r w:rsidRPr="00A23536">
        <w:rPr>
          <w:szCs w:val="24"/>
        </w:rPr>
        <w:t xml:space="preserve">Det administrative støtteapparatet er organisert i EU-forum </w:t>
      </w:r>
      <w:r w:rsidR="00BD7747" w:rsidRPr="00A23536">
        <w:rPr>
          <w:szCs w:val="24"/>
        </w:rPr>
        <w:t>s</w:t>
      </w:r>
      <w:r w:rsidR="00A23536">
        <w:rPr>
          <w:szCs w:val="24"/>
        </w:rPr>
        <w:t>om ledes</w:t>
      </w:r>
      <w:r w:rsidRPr="00A23536">
        <w:rPr>
          <w:szCs w:val="24"/>
        </w:rPr>
        <w:t xml:space="preserve"> fra rektors stab. Det arbeides kontinuerlig</w:t>
      </w:r>
      <w:r w:rsidR="00BD7747" w:rsidRPr="00A23536">
        <w:rPr>
          <w:szCs w:val="24"/>
        </w:rPr>
        <w:t xml:space="preserve"> med gode prosesser, </w:t>
      </w:r>
      <w:r w:rsidRPr="00A23536">
        <w:rPr>
          <w:szCs w:val="24"/>
        </w:rPr>
        <w:t xml:space="preserve">rutiner </w:t>
      </w:r>
      <w:r w:rsidR="00BD7747" w:rsidRPr="00A23536">
        <w:rPr>
          <w:szCs w:val="24"/>
        </w:rPr>
        <w:t xml:space="preserve">og støtteordninger </w:t>
      </w:r>
      <w:r w:rsidRPr="00A23536">
        <w:rPr>
          <w:szCs w:val="24"/>
        </w:rPr>
        <w:t>med utgangspunkt</w:t>
      </w:r>
      <w:r w:rsidR="00DD5405" w:rsidRPr="00A23536">
        <w:rPr>
          <w:szCs w:val="24"/>
        </w:rPr>
        <w:t xml:space="preserve"> i EU-forum, og med</w:t>
      </w:r>
      <w:r w:rsidR="0032560A" w:rsidRPr="00A23536">
        <w:rPr>
          <w:szCs w:val="24"/>
        </w:rPr>
        <w:t xml:space="preserve"> kompetansebygging i det samlede støtteapparatet. </w:t>
      </w:r>
    </w:p>
    <w:p w:rsidR="00134D05" w:rsidRPr="00A23536" w:rsidRDefault="00134D05" w:rsidP="00AB1891">
      <w:pPr>
        <w:jc w:val="both"/>
        <w:rPr>
          <w:szCs w:val="24"/>
        </w:rPr>
      </w:pPr>
    </w:p>
    <w:p w:rsidR="00134D05" w:rsidRPr="00A23536" w:rsidRDefault="0032560A" w:rsidP="00AB1891">
      <w:pPr>
        <w:jc w:val="both"/>
        <w:rPr>
          <w:szCs w:val="24"/>
        </w:rPr>
      </w:pPr>
      <w:r w:rsidRPr="00A23536">
        <w:rPr>
          <w:szCs w:val="24"/>
        </w:rPr>
        <w:t>G</w:t>
      </w:r>
      <w:r w:rsidR="00134D05" w:rsidRPr="00A23536">
        <w:rPr>
          <w:szCs w:val="24"/>
        </w:rPr>
        <w:t>jennom hele FP7-peri</w:t>
      </w:r>
      <w:r w:rsidR="00A262DD">
        <w:rPr>
          <w:szCs w:val="24"/>
        </w:rPr>
        <w:t>od</w:t>
      </w:r>
      <w:r w:rsidR="00134D05" w:rsidRPr="00A23536">
        <w:rPr>
          <w:szCs w:val="24"/>
        </w:rPr>
        <w:t xml:space="preserve">en </w:t>
      </w:r>
      <w:r w:rsidRPr="00A23536">
        <w:rPr>
          <w:szCs w:val="24"/>
        </w:rPr>
        <w:t xml:space="preserve">er det lagt vekt på </w:t>
      </w:r>
      <w:r w:rsidR="00134D05" w:rsidRPr="00A23536">
        <w:rPr>
          <w:szCs w:val="24"/>
        </w:rPr>
        <w:t xml:space="preserve">å forankre den europeiske satsingen i ledelsesstrukturen ved NTNU. </w:t>
      </w:r>
      <w:r w:rsidR="00320DD7" w:rsidRPr="00A23536">
        <w:rPr>
          <w:szCs w:val="24"/>
        </w:rPr>
        <w:t>D</w:t>
      </w:r>
      <w:r w:rsidR="00134D05" w:rsidRPr="00A23536">
        <w:rPr>
          <w:szCs w:val="24"/>
        </w:rPr>
        <w:t xml:space="preserve">et </w:t>
      </w:r>
      <w:r w:rsidR="00320DD7" w:rsidRPr="00A23536">
        <w:rPr>
          <w:szCs w:val="24"/>
        </w:rPr>
        <w:t xml:space="preserve">er også </w:t>
      </w:r>
      <w:r w:rsidR="00134D05" w:rsidRPr="00A23536">
        <w:rPr>
          <w:szCs w:val="24"/>
        </w:rPr>
        <w:t>lagt vekt på god og riktig informasjon til NTNUs fagmiljøer og skreddersydde</w:t>
      </w:r>
      <w:r w:rsidR="002111D5" w:rsidRPr="00A23536">
        <w:rPr>
          <w:szCs w:val="24"/>
        </w:rPr>
        <w:t xml:space="preserve"> opplegg</w:t>
      </w:r>
      <w:r w:rsidR="00134D05" w:rsidRPr="00A23536">
        <w:rPr>
          <w:szCs w:val="24"/>
        </w:rPr>
        <w:t xml:space="preserve"> for det enkelte institutt, senter, program eller satsingsområde. </w:t>
      </w:r>
    </w:p>
    <w:p w:rsidR="00B10EE8" w:rsidRDefault="00B10EE8" w:rsidP="00AB1891">
      <w:pPr>
        <w:jc w:val="both"/>
        <w:rPr>
          <w:szCs w:val="24"/>
        </w:rPr>
      </w:pPr>
    </w:p>
    <w:p w:rsidR="00A262DD" w:rsidRPr="00A23536" w:rsidRDefault="00A262DD" w:rsidP="00AB1891">
      <w:pPr>
        <w:jc w:val="both"/>
        <w:rPr>
          <w:szCs w:val="24"/>
        </w:rPr>
      </w:pPr>
    </w:p>
    <w:p w:rsidR="00F14FF0" w:rsidRDefault="00F14FF0" w:rsidP="00AB1891">
      <w:pPr>
        <w:jc w:val="both"/>
        <w:rPr>
          <w:b/>
        </w:rPr>
      </w:pPr>
      <w:r w:rsidRPr="00A23536">
        <w:rPr>
          <w:b/>
        </w:rPr>
        <w:t>4. Analyse</w:t>
      </w:r>
    </w:p>
    <w:p w:rsidR="00AB1891" w:rsidRPr="00A23536" w:rsidRDefault="00AB1891" w:rsidP="00AB1891">
      <w:pPr>
        <w:jc w:val="both"/>
        <w:rPr>
          <w:b/>
          <w:szCs w:val="22"/>
        </w:rPr>
      </w:pPr>
    </w:p>
    <w:p w:rsidR="00404690" w:rsidRPr="00A23536" w:rsidRDefault="009D2497" w:rsidP="00AB1891">
      <w:pPr>
        <w:jc w:val="both"/>
      </w:pPr>
      <w:r w:rsidRPr="00A23536">
        <w:t>Den omfattende støtten til NTNUs fa</w:t>
      </w:r>
      <w:r w:rsidR="00404690" w:rsidRPr="00A23536">
        <w:t>gmiljøer har vært viktig i</w:t>
      </w:r>
      <w:r w:rsidRPr="00A23536">
        <w:t xml:space="preserve"> satsingen mot økt EU-finansiert forskning. Tilbakemeldingene fra fagmiljøene, fakulteter og institutter på </w:t>
      </w:r>
      <w:r w:rsidR="00A23536">
        <w:t xml:space="preserve">den institusjonelle </w:t>
      </w:r>
      <w:r w:rsidR="00404690" w:rsidRPr="00A23536">
        <w:t xml:space="preserve">støtten fra NTNU </w:t>
      </w:r>
      <w:r w:rsidRPr="00A23536">
        <w:t xml:space="preserve">er gode. </w:t>
      </w:r>
      <w:r w:rsidR="00404690" w:rsidRPr="00A23536">
        <w:t>L</w:t>
      </w:r>
      <w:r w:rsidRPr="00A23536">
        <w:t>ikeful</w:t>
      </w:r>
      <w:r w:rsidR="00DB60C9">
        <w:t>l</w:t>
      </w:r>
      <w:r w:rsidRPr="00A23536">
        <w:t xml:space="preserve">t </w:t>
      </w:r>
      <w:r w:rsidR="00404690" w:rsidRPr="00A23536">
        <w:t>er det et stort potensial</w:t>
      </w:r>
      <w:r w:rsidRPr="00A23536">
        <w:t xml:space="preserve"> for økt deltakelse bå</w:t>
      </w:r>
      <w:r w:rsidR="00404690" w:rsidRPr="00A23536">
        <w:t>de i det nye rammeprogrammet H</w:t>
      </w:r>
      <w:r w:rsidRPr="00A23536">
        <w:t>2020 og andre felleseuropeiske initiativer.</w:t>
      </w:r>
    </w:p>
    <w:p w:rsidR="00404690" w:rsidRPr="00A23536" w:rsidRDefault="00404690" w:rsidP="00AB1891">
      <w:pPr>
        <w:jc w:val="both"/>
      </w:pPr>
    </w:p>
    <w:p w:rsidR="009D2497" w:rsidRPr="00A23536" w:rsidRDefault="00F14FF0" w:rsidP="00AB1891">
      <w:pPr>
        <w:jc w:val="both"/>
      </w:pPr>
      <w:r w:rsidRPr="00A23536">
        <w:t>Det er fortsatt fagmiljøer og leder</w:t>
      </w:r>
      <w:r w:rsidR="00DD5405" w:rsidRPr="00A23536">
        <w:t>e ved</w:t>
      </w:r>
      <w:r w:rsidRPr="00A23536">
        <w:t xml:space="preserve"> NTNU som ikke ønsker å engasjere seg mot </w:t>
      </w:r>
      <w:r w:rsidR="009D2497" w:rsidRPr="00A23536">
        <w:t xml:space="preserve">EU-finansiert forskning eller </w:t>
      </w:r>
      <w:r w:rsidR="00DD5405" w:rsidRPr="00A23536">
        <w:t>som har</w:t>
      </w:r>
      <w:r w:rsidR="009D2497" w:rsidRPr="00A23536">
        <w:t xml:space="preserve"> lav bevissthet</w:t>
      </w:r>
      <w:r w:rsidR="00404690" w:rsidRPr="00A23536">
        <w:t xml:space="preserve"> om </w:t>
      </w:r>
      <w:r w:rsidR="00DD5405" w:rsidRPr="00A23536">
        <w:t>de europeiske programmene</w:t>
      </w:r>
      <w:r w:rsidR="009D2497" w:rsidRPr="00A23536">
        <w:t>.</w:t>
      </w:r>
      <w:r w:rsidR="00404690" w:rsidRPr="00A23536">
        <w:t xml:space="preserve"> </w:t>
      </w:r>
      <w:r w:rsidR="00DC6650" w:rsidRPr="00A23536">
        <w:t>Generelt er det riktig å si at det t</w:t>
      </w:r>
      <w:r w:rsidR="00404690" w:rsidRPr="00A23536">
        <w:t>il tross for målrettede prosesser og mye informasjon</w:t>
      </w:r>
      <w:r w:rsidR="00DC6650" w:rsidRPr="00A23536">
        <w:t>,</w:t>
      </w:r>
      <w:r w:rsidR="00404690" w:rsidRPr="00A23536">
        <w:t xml:space="preserve"> er over</w:t>
      </w:r>
      <w:r w:rsidR="00A262DD">
        <w:t xml:space="preserve">raskende lav strategisk </w:t>
      </w:r>
      <w:r w:rsidR="00404690" w:rsidRPr="00A23536">
        <w:t xml:space="preserve">oppmerksomhet på deltakelse i rammeprogrammene. </w:t>
      </w:r>
      <w:r w:rsidR="009D2497" w:rsidRPr="00A23536">
        <w:t xml:space="preserve"> </w:t>
      </w:r>
    </w:p>
    <w:p w:rsidR="009D2497" w:rsidRPr="00A23536" w:rsidRDefault="009D2497" w:rsidP="00AB1891">
      <w:pPr>
        <w:jc w:val="both"/>
      </w:pPr>
    </w:p>
    <w:p w:rsidR="00404690" w:rsidRPr="00A23536" w:rsidRDefault="00404690" w:rsidP="00AB1891">
      <w:pPr>
        <w:jc w:val="both"/>
      </w:pPr>
      <w:r w:rsidRPr="00A23536">
        <w:t>Vi ser også</w:t>
      </w:r>
      <w:r w:rsidR="009D2497" w:rsidRPr="00A23536">
        <w:t xml:space="preserve"> at f</w:t>
      </w:r>
      <w:r w:rsidR="00F14FF0" w:rsidRPr="00A23536">
        <w:t xml:space="preserve">å miljøer står for en stor av del av NTNUs deltakelse i FP7. </w:t>
      </w:r>
      <w:r w:rsidR="009D2497" w:rsidRPr="00A23536">
        <w:t xml:space="preserve">Eksempelvis </w:t>
      </w:r>
      <w:r w:rsidRPr="00A23536">
        <w:t>står</w:t>
      </w:r>
      <w:r w:rsidR="00B417EB">
        <w:t xml:space="preserve"> 2 forskergrupper ved DMF for 16</w:t>
      </w:r>
      <w:r w:rsidRPr="00A23536">
        <w:t xml:space="preserve"> av </w:t>
      </w:r>
      <w:r w:rsidR="0075230B">
        <w:t xml:space="preserve">fakultetets </w:t>
      </w:r>
      <w:r w:rsidRPr="00A23536">
        <w:t>totalt 23 prosjektdeltakelser.</w:t>
      </w:r>
      <w:r w:rsidR="00791B44">
        <w:t xml:space="preserve"> Samtidig søker e</w:t>
      </w:r>
      <w:r w:rsidRPr="00A23536">
        <w:t xml:space="preserve">n del sterke og relevante grupper ikke EU fordi de allerede har nasjonale midler. Tilgangen til nasjonale midler synes så stor at det ikke vurderes som interessant å søke om EU-finansiering. </w:t>
      </w:r>
    </w:p>
    <w:p w:rsidR="00404690" w:rsidRPr="00A23536" w:rsidRDefault="00404690" w:rsidP="00AB1891">
      <w:pPr>
        <w:jc w:val="both"/>
      </w:pPr>
    </w:p>
    <w:p w:rsidR="00DC6650" w:rsidRPr="00A23536" w:rsidRDefault="00404690" w:rsidP="00AB1891">
      <w:pPr>
        <w:jc w:val="both"/>
      </w:pPr>
      <w:r w:rsidRPr="00A23536">
        <w:t xml:space="preserve">Kapasitetsutfordringen har vært trukket fram av fagmiljøene gjennom hele </w:t>
      </w:r>
      <w:r w:rsidR="00DC6650" w:rsidRPr="00A23536">
        <w:t>FP7 som en hovedutfordring. Fagfolkene er så belastet med andre oppgaver at deltakelse i EU-prosjekter blir umulig. Her hjelper ikke administrativ støtte, det er den faglige kapasiteten som er utfordringen. Eksempelvis står NTNU etter 7 år i FP7 med bare 14 prosjektdeltakelse</w:t>
      </w:r>
      <w:r w:rsidR="00DB60C9">
        <w:t>r</w:t>
      </w:r>
      <w:r w:rsidR="00DC6650" w:rsidRPr="00A23536">
        <w:t xml:space="preserve"> innenfor energiprogrammet (og en tilslagsprosent på 42 %!). Dette er lavt i forhold til den store og tunge aktiviteten NTNU har på </w:t>
      </w:r>
      <w:r w:rsidR="00D07EA8" w:rsidRPr="00A23536">
        <w:t>energi</w:t>
      </w:r>
      <w:r w:rsidR="00DC6650" w:rsidRPr="00A23536">
        <w:t>området. Kapasitetsu</w:t>
      </w:r>
      <w:r w:rsidR="00DB60C9">
        <w:t>tfordringer og rikelig tilgang</w:t>
      </w:r>
      <w:r w:rsidR="00DC6650" w:rsidRPr="00A23536">
        <w:t xml:space="preserve"> </w:t>
      </w:r>
      <w:r w:rsidR="00DB60C9">
        <w:t>til nasjonale</w:t>
      </w:r>
      <w:r w:rsidR="00DC6650" w:rsidRPr="00A23536">
        <w:t xml:space="preserve"> midler er noe</w:t>
      </w:r>
      <w:r w:rsidR="00317AD0">
        <w:t>n</w:t>
      </w:r>
      <w:r w:rsidR="00DC6650" w:rsidRPr="00A23536">
        <w:t xml:space="preserve"> av grunnen</w:t>
      </w:r>
      <w:r w:rsidR="00317AD0">
        <w:t>e</w:t>
      </w:r>
      <w:r w:rsidR="00DC6650" w:rsidRPr="00A23536">
        <w:t xml:space="preserve">.  </w:t>
      </w:r>
    </w:p>
    <w:p w:rsidR="00DC6650" w:rsidRPr="00A23536" w:rsidRDefault="00DC6650" w:rsidP="00AB1891">
      <w:pPr>
        <w:jc w:val="both"/>
      </w:pPr>
    </w:p>
    <w:p w:rsidR="00DC6650" w:rsidRPr="00A23536" w:rsidRDefault="00DC6650" w:rsidP="00AB1891">
      <w:pPr>
        <w:jc w:val="both"/>
      </w:pPr>
      <w:r w:rsidRPr="00A23536">
        <w:t>Vi ser også utfordringer når det g</w:t>
      </w:r>
      <w:r w:rsidR="00D07EA8" w:rsidRPr="00A23536">
        <w:t>jelder kvaliteten i søknadene vi</w:t>
      </w:r>
      <w:r w:rsidRPr="00A23536">
        <w:t xml:space="preserve"> deltar i. Gledelig er det at suksessraten er høyere for de prosjektene der NTNU er koordinator </w:t>
      </w:r>
      <w:r w:rsidR="0075230B">
        <w:t xml:space="preserve">for konsortier </w:t>
      </w:r>
      <w:r w:rsidRPr="00A23536">
        <w:t>og dermed i førersetet for søknadsutformingen, enn der vi er partner, men bare 5</w:t>
      </w:r>
      <w:r w:rsidR="0075230B">
        <w:t>4</w:t>
      </w:r>
      <w:r w:rsidRPr="00A23536">
        <w:t xml:space="preserve"> % av de søknadene NTNU deltar i er evaluert over terskelverdien for å få finansiering. Her er det imidlertid igjen store forskjeller mellom fagområdene og programmene. </w:t>
      </w:r>
    </w:p>
    <w:p w:rsidR="00DC6650" w:rsidRPr="00A23536" w:rsidRDefault="00DC6650" w:rsidP="00AB1891">
      <w:pPr>
        <w:jc w:val="both"/>
      </w:pPr>
    </w:p>
    <w:p w:rsidR="00404690" w:rsidRPr="00A23536" w:rsidRDefault="00DC6650" w:rsidP="00AB1891">
      <w:pPr>
        <w:jc w:val="both"/>
      </w:pPr>
      <w:r w:rsidRPr="00A23536">
        <w:t xml:space="preserve">Den siste utfordringen som vi vil peke på er manglende tilstedeværelse på den europeiske arenaen. NTNUs fagmiljøer klarer ikke </w:t>
      </w:r>
      <w:proofErr w:type="gramStart"/>
      <w:r w:rsidRPr="00A23536">
        <w:t>å</w:t>
      </w:r>
      <w:proofErr w:type="gramEnd"/>
      <w:r w:rsidRPr="00A23536">
        <w:t xml:space="preserve"> </w:t>
      </w:r>
      <w:r w:rsidR="00D07EA8" w:rsidRPr="00A23536">
        <w:t xml:space="preserve">systematisk </w:t>
      </w:r>
      <w:r w:rsidRPr="00A23536">
        <w:t xml:space="preserve">delta i europeiske teknologiplattformer og i andre </w:t>
      </w:r>
      <w:r w:rsidRPr="00A23536">
        <w:lastRenderedPageBreak/>
        <w:t xml:space="preserve">allianser og nettverk der utlysningstekster utformes og konsortia dannes. Dels er det et kapasitetsproblem, dels en manglende forståelse </w:t>
      </w:r>
      <w:r w:rsidR="00A23536">
        <w:t>av</w:t>
      </w:r>
      <w:r w:rsidRPr="00A23536">
        <w:t xml:space="preserve"> betydningen av slik deltakelse. Det er også her selvfølgelig store</w:t>
      </w:r>
      <w:r w:rsidR="00D07EA8" w:rsidRPr="00A23536">
        <w:t xml:space="preserve"> variasjoner mellom fagmiljøene</w:t>
      </w:r>
      <w:r w:rsidR="00DB60C9">
        <w:t>,</w:t>
      </w:r>
      <w:r w:rsidR="00D07EA8" w:rsidRPr="00A23536">
        <w:t xml:space="preserve"> og</w:t>
      </w:r>
      <w:r w:rsidRPr="00A23536">
        <w:t xml:space="preserve"> mange miljøer er aktive. </w:t>
      </w:r>
    </w:p>
    <w:p w:rsidR="0075230B" w:rsidRDefault="0075230B" w:rsidP="00AB1891">
      <w:pPr>
        <w:jc w:val="both"/>
        <w:rPr>
          <w:b/>
        </w:rPr>
      </w:pPr>
    </w:p>
    <w:p w:rsidR="00AB1891" w:rsidRDefault="00AB1891" w:rsidP="00AB1891">
      <w:pPr>
        <w:jc w:val="both"/>
        <w:rPr>
          <w:b/>
        </w:rPr>
      </w:pPr>
    </w:p>
    <w:p w:rsidR="00404690" w:rsidRDefault="00404690" w:rsidP="00AB1891">
      <w:pPr>
        <w:pStyle w:val="Listeavsnit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A23536">
        <w:rPr>
          <w:rFonts w:ascii="Times New Roman" w:hAnsi="Times New Roman"/>
          <w:b/>
          <w:sz w:val="24"/>
        </w:rPr>
        <w:t>Videre satsing</w:t>
      </w:r>
    </w:p>
    <w:p w:rsidR="00AB1891" w:rsidRPr="00A23536" w:rsidRDefault="00AB1891" w:rsidP="00AB1891">
      <w:pPr>
        <w:pStyle w:val="Listeavsnitt"/>
        <w:spacing w:after="0" w:line="240" w:lineRule="auto"/>
        <w:ind w:left="357"/>
        <w:jc w:val="both"/>
        <w:rPr>
          <w:rFonts w:ascii="Times New Roman" w:hAnsi="Times New Roman"/>
          <w:b/>
          <w:sz w:val="24"/>
        </w:rPr>
      </w:pPr>
    </w:p>
    <w:p w:rsidR="00462D1C" w:rsidRPr="00462D1C" w:rsidRDefault="00A23536" w:rsidP="00AB1891">
      <w:pPr>
        <w:jc w:val="both"/>
      </w:pPr>
      <w:r>
        <w:t>Mot dette bakteppet</w:t>
      </w:r>
      <w:r w:rsidR="004109DB" w:rsidRPr="00A23536">
        <w:t xml:space="preserve"> </w:t>
      </w:r>
      <w:r w:rsidR="00D07EA8" w:rsidRPr="00A23536">
        <w:t xml:space="preserve">må </w:t>
      </w:r>
      <w:r w:rsidR="00462D1C">
        <w:t>vi</w:t>
      </w:r>
      <w:r w:rsidR="00D07EA8" w:rsidRPr="00A23536">
        <w:t xml:space="preserve"> vurdere hvordan</w:t>
      </w:r>
      <w:r w:rsidR="004109DB" w:rsidRPr="00A23536">
        <w:t xml:space="preserve"> </w:t>
      </w:r>
      <w:r w:rsidR="0072606A" w:rsidRPr="00A23536">
        <w:t xml:space="preserve">NTNUs videre satsing </w:t>
      </w:r>
      <w:r>
        <w:t>på</w:t>
      </w:r>
      <w:r w:rsidR="0072606A" w:rsidRPr="00A23536">
        <w:t xml:space="preserve"> EU</w:t>
      </w:r>
      <w:r w:rsidR="00AB1891">
        <w:t>-finansiert forskning</w:t>
      </w:r>
      <w:r w:rsidR="00DB60C9" w:rsidRPr="00DB60C9">
        <w:t xml:space="preserve"> </w:t>
      </w:r>
      <w:r w:rsidR="00DB60C9">
        <w:t xml:space="preserve">skal </w:t>
      </w:r>
      <w:r w:rsidR="00DB60C9" w:rsidRPr="00A23536">
        <w:t>utforme</w:t>
      </w:r>
      <w:r w:rsidR="00DB60C9">
        <w:t>s</w:t>
      </w:r>
      <w:r w:rsidR="00AB1891">
        <w:t xml:space="preserve">. Ambisjonen er å øke aktivitetsnivået betydelig. Dette vil bli gjort både gjennom administrativ støtte og støtteordninger, og gjennom tydelig ledelsesoppmerksomhet </w:t>
      </w:r>
      <w:r w:rsidR="00C759E9">
        <w:t>på alle nivåer i organisasjonen</w:t>
      </w:r>
      <w:r w:rsidR="00AB1891">
        <w:t xml:space="preserve">. </w:t>
      </w:r>
      <w:r w:rsidR="00EB206B">
        <w:t>EU-satsingene vil bli sterkt forankret i ledelsesstrukturen og linjen</w:t>
      </w:r>
      <w:r w:rsidR="00D0511B">
        <w:t xml:space="preserve"> for å etablere en grunnleggende og gjennomgående motivasjon for og forståelse av betydningen av deltakelse i de europeiske programmene. Det er på </w:t>
      </w:r>
      <w:r w:rsidR="00317AD0">
        <w:t>dette</w:t>
      </w:r>
      <w:r w:rsidR="00D0511B">
        <w:t xml:space="preserve"> punkt</w:t>
      </w:r>
      <w:r w:rsidR="00317AD0">
        <w:t>et</w:t>
      </w:r>
      <w:r w:rsidR="00D0511B">
        <w:t xml:space="preserve"> hovedtyngden av den fornyede innsatsen vil bli langt. I tillegg kommer styrking av støtteordninger og støtteapparat. </w:t>
      </w:r>
      <w:r w:rsidR="00462D1C" w:rsidRPr="00462D1C">
        <w:rPr>
          <w:szCs w:val="24"/>
        </w:rPr>
        <w:t xml:space="preserve">Den videre </w:t>
      </w:r>
      <w:r w:rsidR="00462D1C">
        <w:rPr>
          <w:szCs w:val="24"/>
        </w:rPr>
        <w:t>innsatsen</w:t>
      </w:r>
      <w:r w:rsidR="00462D1C" w:rsidRPr="00462D1C">
        <w:rPr>
          <w:szCs w:val="24"/>
        </w:rPr>
        <w:t xml:space="preserve"> vil bygge på følgende elementer: </w:t>
      </w:r>
    </w:p>
    <w:p w:rsidR="00B759C5" w:rsidRPr="00462D1C" w:rsidRDefault="00B759C5" w:rsidP="00AB1891">
      <w:pPr>
        <w:jc w:val="both"/>
        <w:rPr>
          <w:szCs w:val="24"/>
        </w:rPr>
      </w:pPr>
    </w:p>
    <w:p w:rsidR="003E48C4" w:rsidRDefault="003E48C4" w:rsidP="00C70CBF">
      <w:pPr>
        <w:pStyle w:val="Rentek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E48C4">
        <w:rPr>
          <w:rFonts w:ascii="Times New Roman" w:hAnsi="Times New Roman" w:cs="Times New Roman"/>
          <w:i/>
          <w:sz w:val="24"/>
        </w:rPr>
        <w:t>Dialogmøte</w:t>
      </w:r>
      <w:r w:rsidR="00C70CBF">
        <w:rPr>
          <w:rFonts w:ascii="Times New Roman" w:hAnsi="Times New Roman" w:cs="Times New Roman"/>
          <w:i/>
          <w:sz w:val="24"/>
        </w:rPr>
        <w:t>r, lederopplæring og allmøter</w:t>
      </w:r>
      <w:r>
        <w:rPr>
          <w:rFonts w:ascii="Times New Roman" w:hAnsi="Times New Roman" w:cs="Times New Roman"/>
          <w:sz w:val="24"/>
        </w:rPr>
        <w:t xml:space="preserve">: Deltakelse i EU-finansiert forskning vil være et sentralt tema </w:t>
      </w:r>
      <w:r w:rsidR="00D0511B">
        <w:rPr>
          <w:rFonts w:ascii="Times New Roman" w:hAnsi="Times New Roman" w:cs="Times New Roman"/>
          <w:sz w:val="24"/>
        </w:rPr>
        <w:t>i</w:t>
      </w:r>
      <w:r w:rsidRPr="00F44B09">
        <w:rPr>
          <w:rFonts w:ascii="Times New Roman" w:hAnsi="Times New Roman" w:cs="Times New Roman"/>
          <w:sz w:val="24"/>
        </w:rPr>
        <w:t xml:space="preserve"> dialogmø</w:t>
      </w:r>
      <w:r>
        <w:rPr>
          <w:rFonts w:ascii="Times New Roman" w:hAnsi="Times New Roman" w:cs="Times New Roman"/>
          <w:sz w:val="24"/>
        </w:rPr>
        <w:t>ter mellom rektoratet og fakultets- og instituttledelse</w:t>
      </w:r>
      <w:r w:rsidR="00D0511B">
        <w:rPr>
          <w:rFonts w:ascii="Times New Roman" w:hAnsi="Times New Roman" w:cs="Times New Roman"/>
          <w:sz w:val="24"/>
        </w:rPr>
        <w:t>, første gang høsten 2013.</w:t>
      </w:r>
      <w:r>
        <w:rPr>
          <w:rFonts w:ascii="Times New Roman" w:hAnsi="Times New Roman" w:cs="Times New Roman"/>
          <w:sz w:val="24"/>
        </w:rPr>
        <w:t xml:space="preserve"> Temaet vil </w:t>
      </w:r>
      <w:r w:rsidR="00C70CBF">
        <w:rPr>
          <w:rFonts w:ascii="Times New Roman" w:hAnsi="Times New Roman" w:cs="Times New Roman"/>
          <w:sz w:val="24"/>
        </w:rPr>
        <w:t xml:space="preserve">dessuten </w:t>
      </w:r>
      <w:r>
        <w:rPr>
          <w:rFonts w:ascii="Times New Roman" w:hAnsi="Times New Roman" w:cs="Times New Roman"/>
          <w:sz w:val="24"/>
        </w:rPr>
        <w:t xml:space="preserve">bli integrert </w:t>
      </w:r>
      <w:r w:rsidRPr="00F44B09">
        <w:rPr>
          <w:rFonts w:ascii="Times New Roman" w:hAnsi="Times New Roman" w:cs="Times New Roman"/>
          <w:sz w:val="24"/>
        </w:rPr>
        <w:t>i lederopplæring</w:t>
      </w:r>
      <w:r>
        <w:rPr>
          <w:rFonts w:ascii="Times New Roman" w:hAnsi="Times New Roman" w:cs="Times New Roman"/>
          <w:sz w:val="24"/>
        </w:rPr>
        <w:t>en</w:t>
      </w:r>
      <w:r w:rsidRPr="00F44B09">
        <w:rPr>
          <w:rFonts w:ascii="Times New Roman" w:hAnsi="Times New Roman" w:cs="Times New Roman"/>
          <w:sz w:val="24"/>
        </w:rPr>
        <w:t xml:space="preserve"> for instituttle</w:t>
      </w:r>
      <w:r>
        <w:rPr>
          <w:rFonts w:ascii="Times New Roman" w:hAnsi="Times New Roman" w:cs="Times New Roman"/>
          <w:sz w:val="24"/>
        </w:rPr>
        <w:t>dere under faglig ledelse og være tema i allmøter mellom</w:t>
      </w:r>
      <w:r w:rsidRPr="00F44B09">
        <w:rPr>
          <w:rFonts w:ascii="Times New Roman" w:hAnsi="Times New Roman" w:cs="Times New Roman"/>
          <w:sz w:val="24"/>
        </w:rPr>
        <w:t xml:space="preserve"> rektorat, dekanater og instituttledere</w:t>
      </w:r>
      <w:r w:rsidRPr="00C70CBF">
        <w:rPr>
          <w:rFonts w:ascii="Times New Roman" w:hAnsi="Times New Roman" w:cs="Times New Roman"/>
          <w:sz w:val="24"/>
        </w:rPr>
        <w:t xml:space="preserve">. En sterk </w:t>
      </w:r>
      <w:r w:rsidR="00C70CBF" w:rsidRPr="00C70CBF">
        <w:rPr>
          <w:rFonts w:ascii="Times New Roman" w:hAnsi="Times New Roman" w:cs="Times New Roman"/>
          <w:sz w:val="24"/>
        </w:rPr>
        <w:t xml:space="preserve">oppmerksomhet </w:t>
      </w:r>
      <w:r w:rsidR="00C70CBF">
        <w:rPr>
          <w:rFonts w:ascii="Times New Roman" w:hAnsi="Times New Roman" w:cs="Times New Roman"/>
          <w:sz w:val="24"/>
        </w:rPr>
        <w:t>gjennom</w:t>
      </w:r>
      <w:r w:rsidRPr="00C70CBF">
        <w:rPr>
          <w:rFonts w:ascii="Times New Roman" w:hAnsi="Times New Roman" w:cs="Times New Roman"/>
          <w:sz w:val="24"/>
        </w:rPr>
        <w:t xml:space="preserve"> linjestrukturen vil</w:t>
      </w:r>
      <w:r w:rsidR="00C70CBF" w:rsidRPr="00C70CBF">
        <w:rPr>
          <w:rFonts w:ascii="Times New Roman" w:hAnsi="Times New Roman" w:cs="Times New Roman"/>
          <w:sz w:val="24"/>
        </w:rPr>
        <w:t xml:space="preserve"> bidra til forankring i enhetene og det lederengasjement som er nødvendig for en forsterket satsing. </w:t>
      </w:r>
    </w:p>
    <w:p w:rsidR="00C70CBF" w:rsidRDefault="00C70CBF" w:rsidP="00C70CBF">
      <w:pPr>
        <w:pStyle w:val="Rentekst"/>
        <w:ind w:left="360"/>
        <w:rPr>
          <w:rFonts w:ascii="Times New Roman" w:hAnsi="Times New Roman" w:cs="Times New Roman"/>
          <w:sz w:val="24"/>
        </w:rPr>
      </w:pPr>
    </w:p>
    <w:p w:rsidR="00C70CBF" w:rsidRPr="00C70CBF" w:rsidRDefault="00C70CBF" w:rsidP="00C70CBF">
      <w:pPr>
        <w:pStyle w:val="Listeavsnit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D1C">
        <w:rPr>
          <w:rFonts w:ascii="Times New Roman" w:hAnsi="Times New Roman"/>
          <w:i/>
          <w:sz w:val="24"/>
          <w:szCs w:val="24"/>
        </w:rPr>
        <w:t>Mobilisering av fagmiljøene</w:t>
      </w:r>
      <w:r w:rsidRPr="00462D1C">
        <w:rPr>
          <w:rFonts w:ascii="Times New Roman" w:hAnsi="Times New Roman"/>
          <w:sz w:val="24"/>
          <w:szCs w:val="24"/>
        </w:rPr>
        <w:t xml:space="preserve">: </w:t>
      </w:r>
      <w:r w:rsidRPr="003E48C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økkelen til økt suksess synes </w:t>
      </w:r>
      <w:r w:rsidRPr="003E48C4">
        <w:rPr>
          <w:rFonts w:ascii="Times New Roman" w:hAnsi="Times New Roman"/>
          <w:sz w:val="24"/>
          <w:szCs w:val="24"/>
        </w:rPr>
        <w:t xml:space="preserve">å ligge i evnen til å mobilisere og motivere, og etablere en grunnleggende forståelse av betydningen av deltakelse i internasjonale forskningsprosjekter i NTNUs fagmiljøer. </w:t>
      </w:r>
      <w:r w:rsidRPr="00C70CBF">
        <w:rPr>
          <w:rFonts w:ascii="Times New Roman" w:hAnsi="Times New Roman"/>
          <w:sz w:val="24"/>
          <w:szCs w:val="24"/>
        </w:rPr>
        <w:t xml:space="preserve">Den viktigste oppgaven </w:t>
      </w:r>
      <w:r>
        <w:rPr>
          <w:rFonts w:ascii="Times New Roman" w:hAnsi="Times New Roman"/>
          <w:sz w:val="24"/>
          <w:szCs w:val="24"/>
        </w:rPr>
        <w:t xml:space="preserve">er derfor </w:t>
      </w:r>
      <w:r w:rsidRPr="00C70CBF">
        <w:rPr>
          <w:rFonts w:ascii="Times New Roman" w:hAnsi="Times New Roman"/>
          <w:sz w:val="24"/>
          <w:szCs w:val="24"/>
        </w:rPr>
        <w:t>en fortsatt mobilisering av fagmiljøene og motivering for deltakelse i EU-finansiert forskning. Et betydelig arbeid er gjort gjennom hele FP7 nettopp for å øke oppmerksomheten på deltakelse i de europeiske programmene i et faglig-strategisk perspektiv. Høsten 2013 fortsetter dette arbeidet med skreddersydde opplegg for alle fakultetenes instituttledermøter, som igjen skal danne utgangspunkt for videre og målrettet arbeid i hvert enkelt institutt og i forskergrupper. Mobiliserings- og forankringsarbeidet har foregått gjennom hele FP7-perioden og videreutvikles nå med vekt på forpliktende oppfølging og konkrete aksjoner i etterkant med tilbakemeldingsmekanismer fra institutter og enheter bygd inn. Prosessen forankres i linjest</w:t>
      </w:r>
      <w:r>
        <w:rPr>
          <w:rFonts w:ascii="Times New Roman" w:hAnsi="Times New Roman"/>
          <w:sz w:val="24"/>
          <w:szCs w:val="24"/>
        </w:rPr>
        <w:t>rukturen</w:t>
      </w:r>
      <w:r w:rsidR="00D051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støttes og drives av rektoratets bruk av lin</w:t>
      </w:r>
      <w:r w:rsidR="00D0511B">
        <w:rPr>
          <w:rFonts w:ascii="Times New Roman" w:hAnsi="Times New Roman"/>
          <w:sz w:val="24"/>
          <w:szCs w:val="24"/>
        </w:rPr>
        <w:t xml:space="preserve">jen. </w:t>
      </w:r>
    </w:p>
    <w:p w:rsidR="003E48C4" w:rsidRPr="003E48C4" w:rsidRDefault="003E48C4" w:rsidP="003E48C4">
      <w:pPr>
        <w:jc w:val="both"/>
        <w:rPr>
          <w:szCs w:val="24"/>
        </w:rPr>
      </w:pPr>
    </w:p>
    <w:p w:rsidR="00462D1C" w:rsidRPr="00AB1891" w:rsidRDefault="00462D1C" w:rsidP="00AB1891">
      <w:pPr>
        <w:pStyle w:val="Listeavsnit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891">
        <w:rPr>
          <w:rFonts w:ascii="Times New Roman" w:hAnsi="Times New Roman"/>
          <w:i/>
          <w:sz w:val="24"/>
          <w:szCs w:val="24"/>
        </w:rPr>
        <w:t>Revidert EU-handlingsplan</w:t>
      </w:r>
      <w:r w:rsidRPr="00AB1891">
        <w:rPr>
          <w:rFonts w:ascii="Times New Roman" w:hAnsi="Times New Roman"/>
          <w:sz w:val="24"/>
          <w:szCs w:val="24"/>
        </w:rPr>
        <w:t>: EU-handlingsplanen går ut ved årsskifte 2013/2014. Det er besluttet å forlenge den til ut første halvår 2014 slik at den kommer i fase med ny Internasjonal handlingsplan som løper til august 2014. Handlingsplanen for EU-finansiert forskning blir således en integrert del av ny internasjonal handlingsplan. Handlingsplanen vil omfatte både europeisk forsknings-, inno</w:t>
      </w:r>
      <w:r w:rsidR="000401EA">
        <w:rPr>
          <w:rFonts w:ascii="Times New Roman" w:hAnsi="Times New Roman"/>
          <w:sz w:val="24"/>
          <w:szCs w:val="24"/>
        </w:rPr>
        <w:t xml:space="preserve">vasjons- og utdanningssamarbeid. Det vil bli lagt </w:t>
      </w:r>
      <w:r w:rsidRPr="00AB1891">
        <w:rPr>
          <w:rFonts w:ascii="Times New Roman" w:hAnsi="Times New Roman"/>
          <w:sz w:val="24"/>
          <w:szCs w:val="24"/>
        </w:rPr>
        <w:t xml:space="preserve">vekt på hvordan vi kan utnytte det nye europeiske rammeprogrammet for utdanning Erasmus+, også med oppstart i 2014, og hvordan de to nye rammeprogrammene gjensidig kan forsterke NTNUs europeiske satsing. </w:t>
      </w:r>
      <w:r w:rsidR="00B759C5" w:rsidRPr="00AB1891">
        <w:rPr>
          <w:rFonts w:ascii="Times New Roman" w:hAnsi="Times New Roman"/>
          <w:sz w:val="24"/>
          <w:szCs w:val="24"/>
        </w:rPr>
        <w:t xml:space="preserve">Til grunn for utforming av </w:t>
      </w:r>
      <w:r w:rsidRPr="00AB1891">
        <w:rPr>
          <w:rFonts w:ascii="Times New Roman" w:hAnsi="Times New Roman"/>
          <w:sz w:val="24"/>
          <w:szCs w:val="24"/>
        </w:rPr>
        <w:t>revidert</w:t>
      </w:r>
      <w:r w:rsidR="00B759C5" w:rsidRPr="00AB1891">
        <w:rPr>
          <w:rFonts w:ascii="Times New Roman" w:hAnsi="Times New Roman"/>
          <w:sz w:val="24"/>
          <w:szCs w:val="24"/>
        </w:rPr>
        <w:t xml:space="preserve"> handlingsplan og konkrete mål og virkemidler under denne vil ligge en analyse av</w:t>
      </w:r>
      <w:r w:rsidR="006E413C">
        <w:rPr>
          <w:rFonts w:ascii="Times New Roman" w:hAnsi="Times New Roman"/>
          <w:sz w:val="24"/>
          <w:szCs w:val="24"/>
        </w:rPr>
        <w:t xml:space="preserve"> brukbarheten og effekten av </w:t>
      </w:r>
      <w:r w:rsidR="00F50D9C" w:rsidRPr="00AB1891">
        <w:rPr>
          <w:rFonts w:ascii="Times New Roman" w:hAnsi="Times New Roman"/>
          <w:sz w:val="24"/>
          <w:szCs w:val="24"/>
        </w:rPr>
        <w:t xml:space="preserve">eksisterende </w:t>
      </w:r>
      <w:r w:rsidR="00B759C5" w:rsidRPr="00AB1891">
        <w:rPr>
          <w:rFonts w:ascii="Times New Roman" w:hAnsi="Times New Roman"/>
          <w:sz w:val="24"/>
          <w:szCs w:val="24"/>
        </w:rPr>
        <w:t>støtteordninger og tiltak</w:t>
      </w:r>
      <w:r w:rsidR="0082347D" w:rsidRPr="00AB1891">
        <w:rPr>
          <w:rFonts w:ascii="Times New Roman" w:hAnsi="Times New Roman"/>
          <w:sz w:val="24"/>
          <w:szCs w:val="24"/>
        </w:rPr>
        <w:t>,</w:t>
      </w:r>
      <w:r w:rsidR="00B759C5" w:rsidRPr="00AB1891">
        <w:rPr>
          <w:rFonts w:ascii="Times New Roman" w:hAnsi="Times New Roman"/>
          <w:sz w:val="24"/>
          <w:szCs w:val="24"/>
        </w:rPr>
        <w:t xml:space="preserve"> og en vurdering av eventuelle nye grep. </w:t>
      </w:r>
    </w:p>
    <w:p w:rsidR="00462D1C" w:rsidRPr="00AB1891" w:rsidRDefault="00462D1C" w:rsidP="00AB1891">
      <w:pPr>
        <w:pStyle w:val="Listeavsnit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2D1C" w:rsidRPr="00462D1C" w:rsidRDefault="00462D1C" w:rsidP="00AB1891">
      <w:pPr>
        <w:pStyle w:val="Listeavsnit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D1C">
        <w:rPr>
          <w:rFonts w:ascii="Times New Roman" w:hAnsi="Times New Roman"/>
          <w:i/>
          <w:sz w:val="24"/>
          <w:szCs w:val="24"/>
        </w:rPr>
        <w:t>Administrativt støtteapparat</w:t>
      </w:r>
      <w:r w:rsidRPr="00462D1C">
        <w:rPr>
          <w:rFonts w:ascii="Times New Roman" w:hAnsi="Times New Roman"/>
          <w:sz w:val="24"/>
          <w:szCs w:val="24"/>
        </w:rPr>
        <w:t xml:space="preserve">: </w:t>
      </w:r>
      <w:r w:rsidR="00F50D9C" w:rsidRPr="00462D1C">
        <w:rPr>
          <w:rFonts w:ascii="Times New Roman" w:hAnsi="Times New Roman"/>
          <w:sz w:val="24"/>
          <w:szCs w:val="24"/>
        </w:rPr>
        <w:t>Det vurderes ikke som aktuelt å bygge ut det administrative støtteapparatet</w:t>
      </w:r>
      <w:r w:rsidR="00BA444F" w:rsidRPr="00462D1C">
        <w:rPr>
          <w:rFonts w:ascii="Times New Roman" w:hAnsi="Times New Roman"/>
          <w:sz w:val="24"/>
          <w:szCs w:val="24"/>
        </w:rPr>
        <w:t xml:space="preserve"> ytterligere</w:t>
      </w:r>
      <w:r w:rsidR="00F50D9C" w:rsidRPr="00462D1C">
        <w:rPr>
          <w:rFonts w:ascii="Times New Roman" w:hAnsi="Times New Roman"/>
          <w:sz w:val="24"/>
          <w:szCs w:val="24"/>
        </w:rPr>
        <w:t xml:space="preserve">, men heller konsolidere dette og kontinuerlig arbeide for </w:t>
      </w:r>
      <w:r w:rsidR="00F50D9C" w:rsidRPr="00462D1C">
        <w:rPr>
          <w:rFonts w:ascii="Times New Roman" w:hAnsi="Times New Roman"/>
          <w:sz w:val="24"/>
          <w:szCs w:val="24"/>
        </w:rPr>
        <w:lastRenderedPageBreak/>
        <w:t xml:space="preserve">kompetansehevning og økt profesjonalitet. Med utgangspunkt i EU-forum vil rutiner og </w:t>
      </w:r>
      <w:r w:rsidR="00BA444F" w:rsidRPr="00462D1C">
        <w:rPr>
          <w:rFonts w:ascii="Times New Roman" w:hAnsi="Times New Roman"/>
          <w:sz w:val="24"/>
          <w:szCs w:val="24"/>
        </w:rPr>
        <w:t xml:space="preserve">prosedyrer for det nye rammeprogrammet utvikles høsten 2013. </w:t>
      </w:r>
    </w:p>
    <w:p w:rsidR="00462D1C" w:rsidRPr="00462D1C" w:rsidRDefault="00462D1C" w:rsidP="00AB1891">
      <w:pPr>
        <w:pStyle w:val="Listeavsnit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D1C" w:rsidRDefault="00462D1C" w:rsidP="00AB1891">
      <w:pPr>
        <w:pStyle w:val="Listeavsnit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D1C">
        <w:rPr>
          <w:rFonts w:ascii="Times New Roman" w:hAnsi="Times New Roman"/>
          <w:i/>
          <w:sz w:val="24"/>
          <w:szCs w:val="24"/>
        </w:rPr>
        <w:t>Prioriterte grupper</w:t>
      </w:r>
      <w:r w:rsidRPr="00462D1C">
        <w:rPr>
          <w:rFonts w:ascii="Times New Roman" w:hAnsi="Times New Roman"/>
          <w:sz w:val="24"/>
          <w:szCs w:val="24"/>
        </w:rPr>
        <w:t xml:space="preserve">: </w:t>
      </w:r>
      <w:r w:rsidR="00C446B7" w:rsidRPr="00462D1C">
        <w:rPr>
          <w:rFonts w:ascii="Times New Roman" w:hAnsi="Times New Roman"/>
          <w:sz w:val="24"/>
          <w:szCs w:val="24"/>
        </w:rPr>
        <w:t xml:space="preserve">Allerede igangsatt nytt tiltak i mobiliseringen mot </w:t>
      </w:r>
      <w:r>
        <w:rPr>
          <w:rFonts w:ascii="Times New Roman" w:hAnsi="Times New Roman"/>
          <w:sz w:val="24"/>
          <w:szCs w:val="24"/>
        </w:rPr>
        <w:t>Horisont 2020 og andre europeiske programmer</w:t>
      </w:r>
      <w:r w:rsidR="00C446B7" w:rsidRPr="00462D1C">
        <w:rPr>
          <w:rFonts w:ascii="Times New Roman" w:hAnsi="Times New Roman"/>
          <w:sz w:val="24"/>
          <w:szCs w:val="24"/>
        </w:rPr>
        <w:t xml:space="preserve"> er utvelgelse av 7 prioriterte grupper på NTNU-nivå som får ekstra ressurstilførsel</w:t>
      </w:r>
      <w:r w:rsidR="00F44B09" w:rsidRPr="00462D1C">
        <w:rPr>
          <w:rFonts w:ascii="Times New Roman" w:hAnsi="Times New Roman"/>
          <w:sz w:val="24"/>
          <w:szCs w:val="24"/>
        </w:rPr>
        <w:t xml:space="preserve"> o</w:t>
      </w:r>
      <w:r w:rsidR="00C633C7" w:rsidRPr="00462D1C">
        <w:rPr>
          <w:rFonts w:ascii="Times New Roman" w:hAnsi="Times New Roman"/>
          <w:sz w:val="24"/>
          <w:szCs w:val="24"/>
        </w:rPr>
        <w:t xml:space="preserve">g oppfølging. </w:t>
      </w:r>
      <w:r w:rsidR="00C446B7" w:rsidRPr="00462D1C">
        <w:rPr>
          <w:rFonts w:ascii="Times New Roman" w:hAnsi="Times New Roman"/>
          <w:sz w:val="24"/>
          <w:szCs w:val="24"/>
        </w:rPr>
        <w:t xml:space="preserve">De 7 gruppene </w:t>
      </w:r>
      <w:r>
        <w:rPr>
          <w:rFonts w:ascii="Times New Roman" w:hAnsi="Times New Roman"/>
          <w:sz w:val="24"/>
          <w:szCs w:val="24"/>
        </w:rPr>
        <w:t xml:space="preserve">(«gull-kortgruppene») </w:t>
      </w:r>
      <w:r w:rsidR="00C446B7" w:rsidRPr="00462D1C">
        <w:rPr>
          <w:rFonts w:ascii="Times New Roman" w:hAnsi="Times New Roman"/>
          <w:sz w:val="24"/>
          <w:szCs w:val="24"/>
        </w:rPr>
        <w:t xml:space="preserve">som er valgt etter et kriteriesett og en utvelgelsesprosess med nominasjon fra fakultetene er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Manufacturing</w:t>
      </w:r>
      <w:proofErr w:type="spellEnd"/>
      <w:r w:rsidR="00C446B7" w:rsidRPr="00462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C</w:t>
      </w:r>
      <w:r w:rsidR="00AB1891">
        <w:rPr>
          <w:rFonts w:ascii="Times New Roman" w:hAnsi="Times New Roman"/>
          <w:sz w:val="24"/>
          <w:szCs w:val="24"/>
        </w:rPr>
        <w:t>arbone</w:t>
      </w:r>
      <w:proofErr w:type="spellEnd"/>
      <w:r w:rsidR="00AB1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C</w:t>
      </w:r>
      <w:r w:rsidR="00AB1891">
        <w:rPr>
          <w:rFonts w:ascii="Times New Roman" w:hAnsi="Times New Roman"/>
          <w:sz w:val="24"/>
          <w:szCs w:val="24"/>
        </w:rPr>
        <w:t>apture</w:t>
      </w:r>
      <w:proofErr w:type="spellEnd"/>
      <w:r w:rsidR="00AB1891">
        <w:rPr>
          <w:rFonts w:ascii="Times New Roman" w:hAnsi="Times New Roman"/>
          <w:sz w:val="24"/>
          <w:szCs w:val="24"/>
        </w:rPr>
        <w:t xml:space="preserve"> and </w:t>
      </w:r>
      <w:r w:rsidR="00C446B7" w:rsidRPr="00462D1C">
        <w:rPr>
          <w:rFonts w:ascii="Times New Roman" w:hAnsi="Times New Roman"/>
          <w:sz w:val="24"/>
          <w:szCs w:val="24"/>
        </w:rPr>
        <w:t>S</w:t>
      </w:r>
      <w:r w:rsidR="00AB1891">
        <w:rPr>
          <w:rFonts w:ascii="Times New Roman" w:hAnsi="Times New Roman"/>
          <w:sz w:val="24"/>
          <w:szCs w:val="24"/>
        </w:rPr>
        <w:t>torage</w:t>
      </w:r>
      <w:r w:rsidR="00C446B7" w:rsidRPr="00462D1C">
        <w:rPr>
          <w:rFonts w:ascii="Times New Roman" w:hAnsi="Times New Roman"/>
          <w:sz w:val="24"/>
          <w:szCs w:val="24"/>
        </w:rPr>
        <w:t>,</w:t>
      </w:r>
      <w:r w:rsidR="00AB1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891">
        <w:rPr>
          <w:rFonts w:ascii="Times New Roman" w:hAnsi="Times New Roman"/>
          <w:sz w:val="24"/>
          <w:szCs w:val="24"/>
        </w:rPr>
        <w:t>Obesety</w:t>
      </w:r>
      <w:proofErr w:type="spellEnd"/>
      <w:r w:rsidR="00AB1891">
        <w:rPr>
          <w:rFonts w:ascii="Times New Roman" w:hAnsi="Times New Roman"/>
          <w:sz w:val="24"/>
          <w:szCs w:val="24"/>
        </w:rPr>
        <w:t xml:space="preserve">, Smart </w:t>
      </w:r>
      <w:proofErr w:type="spellStart"/>
      <w:r w:rsidR="00AB1891">
        <w:rPr>
          <w:rFonts w:ascii="Times New Roman" w:hAnsi="Times New Roman"/>
          <w:sz w:val="24"/>
          <w:szCs w:val="24"/>
        </w:rPr>
        <w:t>Cities</w:t>
      </w:r>
      <w:proofErr w:type="spellEnd"/>
      <w:r w:rsidR="00AB1891">
        <w:rPr>
          <w:rFonts w:ascii="Times New Roman" w:hAnsi="Times New Roman"/>
          <w:sz w:val="24"/>
          <w:szCs w:val="24"/>
        </w:rPr>
        <w:t>, Energy Systems and P</w:t>
      </w:r>
      <w:r w:rsidR="00C446B7" w:rsidRPr="00462D1C">
        <w:rPr>
          <w:rFonts w:ascii="Times New Roman" w:hAnsi="Times New Roman"/>
          <w:sz w:val="24"/>
          <w:szCs w:val="24"/>
        </w:rPr>
        <w:t xml:space="preserve">olicy, Energy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Efficient</w:t>
      </w:r>
      <w:proofErr w:type="spellEnd"/>
      <w:r w:rsidR="00C446B7" w:rsidRPr="00462D1C">
        <w:rPr>
          <w:rFonts w:ascii="Times New Roman" w:hAnsi="Times New Roman"/>
          <w:sz w:val="24"/>
          <w:szCs w:val="24"/>
        </w:rPr>
        <w:t xml:space="preserve"> Computing Systems og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Experimental</w:t>
      </w:r>
      <w:proofErr w:type="spellEnd"/>
      <w:r w:rsidR="00C446B7" w:rsidRPr="00462D1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Theoretical</w:t>
      </w:r>
      <w:proofErr w:type="spellEnd"/>
      <w:r w:rsidR="00C446B7" w:rsidRPr="00462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6B7" w:rsidRPr="00462D1C">
        <w:rPr>
          <w:rFonts w:ascii="Times New Roman" w:hAnsi="Times New Roman"/>
          <w:sz w:val="24"/>
          <w:szCs w:val="24"/>
        </w:rPr>
        <w:t>Approaches</w:t>
      </w:r>
      <w:proofErr w:type="spellEnd"/>
      <w:r w:rsidR="00C446B7" w:rsidRPr="00462D1C">
        <w:rPr>
          <w:rFonts w:ascii="Times New Roman" w:hAnsi="Times New Roman"/>
          <w:sz w:val="24"/>
          <w:szCs w:val="24"/>
        </w:rPr>
        <w:t xml:space="preserve"> to Human Language. Gruppene får </w:t>
      </w:r>
      <w:r w:rsidR="00AB1891">
        <w:rPr>
          <w:rFonts w:ascii="Times New Roman" w:hAnsi="Times New Roman"/>
          <w:sz w:val="24"/>
          <w:szCs w:val="24"/>
        </w:rPr>
        <w:t xml:space="preserve">finansiert </w:t>
      </w:r>
      <w:r w:rsidR="00C446B7" w:rsidRPr="00462D1C">
        <w:rPr>
          <w:rFonts w:ascii="Times New Roman" w:hAnsi="Times New Roman"/>
          <w:sz w:val="24"/>
          <w:szCs w:val="24"/>
        </w:rPr>
        <w:t xml:space="preserve">en faglig prosessleder </w:t>
      </w:r>
      <w:r w:rsidR="00C633C7" w:rsidRPr="00462D1C">
        <w:rPr>
          <w:rFonts w:ascii="Times New Roman" w:hAnsi="Times New Roman"/>
          <w:sz w:val="24"/>
          <w:szCs w:val="24"/>
        </w:rPr>
        <w:t xml:space="preserve">(50/50 deling av utgift mellom NTNU sentralt og fakultetene) </w:t>
      </w:r>
      <w:r w:rsidR="00C446B7" w:rsidRPr="00462D1C">
        <w:rPr>
          <w:rFonts w:ascii="Times New Roman" w:hAnsi="Times New Roman"/>
          <w:sz w:val="24"/>
          <w:szCs w:val="24"/>
        </w:rPr>
        <w:t>og 100 000 i kontantstøtte</w:t>
      </w:r>
      <w:r w:rsidR="00C633C7" w:rsidRPr="00462D1C">
        <w:rPr>
          <w:rFonts w:ascii="Times New Roman" w:hAnsi="Times New Roman"/>
          <w:sz w:val="24"/>
          <w:szCs w:val="24"/>
        </w:rPr>
        <w:t xml:space="preserve"> pr år</w:t>
      </w:r>
      <w:r w:rsidR="00C446B7" w:rsidRPr="00462D1C">
        <w:rPr>
          <w:rFonts w:ascii="Times New Roman" w:hAnsi="Times New Roman"/>
          <w:sz w:val="24"/>
          <w:szCs w:val="24"/>
        </w:rPr>
        <w:t xml:space="preserve"> i 3 år. I tillegg vil organiseringen i grupper med et særlig og felles ansv</w:t>
      </w:r>
      <w:r w:rsidR="00C633C7" w:rsidRPr="00462D1C">
        <w:rPr>
          <w:rFonts w:ascii="Times New Roman" w:hAnsi="Times New Roman"/>
          <w:sz w:val="24"/>
          <w:szCs w:val="24"/>
        </w:rPr>
        <w:t>a</w:t>
      </w:r>
      <w:r w:rsidR="00C446B7" w:rsidRPr="00462D1C">
        <w:rPr>
          <w:rFonts w:ascii="Times New Roman" w:hAnsi="Times New Roman"/>
          <w:sz w:val="24"/>
          <w:szCs w:val="24"/>
        </w:rPr>
        <w:t xml:space="preserve">r for </w:t>
      </w:r>
      <w:r w:rsidR="00C633C7" w:rsidRPr="00462D1C">
        <w:rPr>
          <w:rFonts w:ascii="Times New Roman" w:hAnsi="Times New Roman"/>
          <w:sz w:val="24"/>
          <w:szCs w:val="24"/>
        </w:rPr>
        <w:t>den europeiske satsingen forhåpentligvis ha god effekt. Etableringen av gruppene er bl</w:t>
      </w:r>
      <w:r w:rsidR="00317AD0">
        <w:rPr>
          <w:rFonts w:ascii="Times New Roman" w:hAnsi="Times New Roman"/>
          <w:sz w:val="24"/>
          <w:szCs w:val="24"/>
        </w:rPr>
        <w:t>.</w:t>
      </w:r>
      <w:r w:rsidR="00C633C7" w:rsidRPr="00462D1C">
        <w:rPr>
          <w:rFonts w:ascii="Times New Roman" w:hAnsi="Times New Roman"/>
          <w:sz w:val="24"/>
          <w:szCs w:val="24"/>
        </w:rPr>
        <w:t>a</w:t>
      </w:r>
      <w:r w:rsidR="00317AD0">
        <w:rPr>
          <w:rFonts w:ascii="Times New Roman" w:hAnsi="Times New Roman"/>
          <w:sz w:val="24"/>
          <w:szCs w:val="24"/>
        </w:rPr>
        <w:t>.</w:t>
      </w:r>
      <w:r w:rsidR="00C633C7" w:rsidRPr="00462D1C">
        <w:rPr>
          <w:rFonts w:ascii="Times New Roman" w:hAnsi="Times New Roman"/>
          <w:sz w:val="24"/>
          <w:szCs w:val="24"/>
        </w:rPr>
        <w:t xml:space="preserve"> et svar på den faglige kapasitetsutfordringen som er pekt på av fagmiljøene. </w:t>
      </w:r>
    </w:p>
    <w:p w:rsidR="00462D1C" w:rsidRPr="00EB206B" w:rsidRDefault="00462D1C" w:rsidP="00AB1891">
      <w:pPr>
        <w:pStyle w:val="Listeavsnit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06B" w:rsidRPr="00EB206B" w:rsidRDefault="00EB206B" w:rsidP="00EB206B">
      <w:pPr>
        <w:pStyle w:val="Listeavsnit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6B">
        <w:rPr>
          <w:rFonts w:ascii="Times New Roman" w:hAnsi="Times New Roman"/>
          <w:i/>
          <w:sz w:val="24"/>
          <w:szCs w:val="24"/>
        </w:rPr>
        <w:t>Samarbeid med industri og næringsliv: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06B">
        <w:rPr>
          <w:rFonts w:ascii="Times New Roman" w:hAnsi="Times New Roman"/>
          <w:sz w:val="24"/>
          <w:szCs w:val="24"/>
        </w:rPr>
        <w:t xml:space="preserve">Horisont 2020 er et rammeprogram for forskning </w:t>
      </w:r>
      <w:r w:rsidRPr="00EB206B">
        <w:rPr>
          <w:rFonts w:ascii="Times New Roman" w:hAnsi="Times New Roman"/>
          <w:i/>
          <w:sz w:val="24"/>
          <w:szCs w:val="24"/>
        </w:rPr>
        <w:t>OG</w:t>
      </w:r>
      <w:r w:rsidRPr="00EB206B">
        <w:rPr>
          <w:rFonts w:ascii="Times New Roman" w:hAnsi="Times New Roman"/>
          <w:sz w:val="24"/>
          <w:szCs w:val="24"/>
        </w:rPr>
        <w:t xml:space="preserve"> innovasjon.  </w:t>
      </w:r>
      <w:r>
        <w:rPr>
          <w:rFonts w:ascii="Times New Roman" w:hAnsi="Times New Roman"/>
          <w:sz w:val="24"/>
          <w:szCs w:val="24"/>
        </w:rPr>
        <w:t xml:space="preserve">Det legges betydelig vekt på innovasjonselementer på tvers av hele rammeprogrammet og </w:t>
      </w:r>
      <w:r w:rsidR="00317AD0">
        <w:rPr>
          <w:rFonts w:ascii="Times New Roman" w:hAnsi="Times New Roman"/>
          <w:sz w:val="24"/>
          <w:szCs w:val="24"/>
        </w:rPr>
        <w:t xml:space="preserve">målrettede </w:t>
      </w:r>
      <w:r>
        <w:rPr>
          <w:rFonts w:ascii="Times New Roman" w:hAnsi="Times New Roman"/>
          <w:sz w:val="24"/>
          <w:szCs w:val="24"/>
        </w:rPr>
        <w:t xml:space="preserve">programmer og satsinger </w:t>
      </w:r>
      <w:r w:rsidR="00317AD0">
        <w:rPr>
          <w:rFonts w:ascii="Times New Roman" w:hAnsi="Times New Roman"/>
          <w:sz w:val="24"/>
          <w:szCs w:val="24"/>
        </w:rPr>
        <w:t xml:space="preserve">fins som </w:t>
      </w:r>
      <w:r>
        <w:rPr>
          <w:rFonts w:ascii="Times New Roman" w:hAnsi="Times New Roman"/>
          <w:sz w:val="24"/>
          <w:szCs w:val="24"/>
        </w:rPr>
        <w:t xml:space="preserve">støtter innovasjon, industri og </w:t>
      </w:r>
      <w:proofErr w:type="spellStart"/>
      <w:r>
        <w:rPr>
          <w:rFonts w:ascii="Times New Roman" w:hAnsi="Times New Roman"/>
          <w:sz w:val="24"/>
          <w:szCs w:val="24"/>
        </w:rPr>
        <w:t>SMBs</w:t>
      </w:r>
      <w:proofErr w:type="spellEnd"/>
      <w:r>
        <w:rPr>
          <w:rFonts w:ascii="Times New Roman" w:hAnsi="Times New Roman"/>
          <w:sz w:val="24"/>
          <w:szCs w:val="24"/>
        </w:rPr>
        <w:t xml:space="preserve">. NTNU er i en god posisjon til å møte de sterke kravene om innovasjon i det nye rammeprogrammet og gode prosesser vil bli etablert for </w:t>
      </w:r>
      <w:r w:rsidR="00D0511B">
        <w:rPr>
          <w:rFonts w:ascii="Times New Roman" w:hAnsi="Times New Roman"/>
          <w:sz w:val="24"/>
          <w:szCs w:val="24"/>
        </w:rPr>
        <w:t xml:space="preserve">særlig </w:t>
      </w:r>
      <w:r>
        <w:rPr>
          <w:rFonts w:ascii="Times New Roman" w:hAnsi="Times New Roman"/>
          <w:sz w:val="24"/>
          <w:szCs w:val="24"/>
        </w:rPr>
        <w:t xml:space="preserve">å stimulere samarbeid med industri- og næringslivspartnere innenfor relevante spissere områder.  </w:t>
      </w:r>
    </w:p>
    <w:p w:rsidR="00EB206B" w:rsidRDefault="00EB206B" w:rsidP="00EB206B">
      <w:pPr>
        <w:jc w:val="both"/>
        <w:rPr>
          <w:szCs w:val="24"/>
        </w:rPr>
      </w:pPr>
    </w:p>
    <w:p w:rsidR="002E78E0" w:rsidRPr="00EB206B" w:rsidRDefault="002E78E0" w:rsidP="00EB206B">
      <w:pPr>
        <w:jc w:val="both"/>
        <w:rPr>
          <w:szCs w:val="24"/>
        </w:rPr>
      </w:pPr>
    </w:p>
    <w:p w:rsidR="00381BF6" w:rsidRPr="00F44B09" w:rsidRDefault="00381BF6" w:rsidP="00AB1891">
      <w:pPr>
        <w:jc w:val="both"/>
        <w:rPr>
          <w:szCs w:val="24"/>
        </w:rPr>
      </w:pPr>
    </w:p>
    <w:p w:rsidR="00E07251" w:rsidRPr="00CB03AD" w:rsidRDefault="00E07251" w:rsidP="00AB1891">
      <w:pPr>
        <w:tabs>
          <w:tab w:val="left" w:pos="993"/>
        </w:tabs>
        <w:jc w:val="both"/>
      </w:pPr>
    </w:p>
    <w:p w:rsidR="00E07251" w:rsidRPr="00CB03AD" w:rsidRDefault="00E07251" w:rsidP="00AB1891">
      <w:pPr>
        <w:tabs>
          <w:tab w:val="left" w:pos="993"/>
        </w:tabs>
        <w:jc w:val="both"/>
      </w:pPr>
    </w:p>
    <w:p w:rsidR="00E07251" w:rsidRPr="00CB03AD" w:rsidRDefault="00E07251" w:rsidP="00AB1891">
      <w:pPr>
        <w:tabs>
          <w:tab w:val="left" w:pos="993"/>
        </w:tabs>
        <w:jc w:val="both"/>
      </w:pPr>
    </w:p>
    <w:p w:rsidR="00D07EA8" w:rsidRPr="00803D72" w:rsidRDefault="00CB03AD" w:rsidP="00AB1891">
      <w:pPr>
        <w:tabs>
          <w:tab w:val="left" w:pos="993"/>
        </w:tabs>
        <w:jc w:val="both"/>
        <w:rPr>
          <w:lang w:val="nn-NO"/>
        </w:rPr>
      </w:pPr>
      <w:hyperlink r:id="rId8" w:history="1">
        <w:r w:rsidR="00E60F2A" w:rsidRPr="00CB03AD">
          <w:rPr>
            <w:rStyle w:val="Hyperkobling"/>
            <w:lang w:val="nn-NO"/>
          </w:rPr>
          <w:t>Vedlegg 1</w:t>
        </w:r>
      </w:hyperlink>
      <w:r w:rsidR="00E60F2A" w:rsidRPr="00803D72">
        <w:rPr>
          <w:lang w:val="nn-NO"/>
        </w:rPr>
        <w:t xml:space="preserve">: </w:t>
      </w:r>
      <w:r w:rsidR="00D07EA8" w:rsidRPr="00803D72">
        <w:rPr>
          <w:lang w:val="nn-NO"/>
        </w:rPr>
        <w:t>NTNUs RBO-</w:t>
      </w:r>
      <w:proofErr w:type="spellStart"/>
      <w:r w:rsidR="00D07EA8" w:rsidRPr="00803D72">
        <w:rPr>
          <w:lang w:val="nn-NO"/>
        </w:rPr>
        <w:t>uttelling</w:t>
      </w:r>
      <w:proofErr w:type="spellEnd"/>
      <w:r w:rsidR="00D07EA8" w:rsidRPr="00803D72">
        <w:rPr>
          <w:lang w:val="nn-NO"/>
        </w:rPr>
        <w:t xml:space="preserve"> 2013 og prognose for 2014</w:t>
      </w:r>
    </w:p>
    <w:p w:rsidR="00E60F2A" w:rsidRPr="00A23536" w:rsidRDefault="00CB03AD" w:rsidP="00AB1891">
      <w:hyperlink r:id="rId9" w:history="1">
        <w:r w:rsidR="00E60F2A" w:rsidRPr="00CB03AD">
          <w:rPr>
            <w:rStyle w:val="Hyperkobling"/>
          </w:rPr>
          <w:t>Vedlegg 2:</w:t>
        </w:r>
      </w:hyperlink>
      <w:bookmarkStart w:id="6" w:name="_GoBack"/>
      <w:bookmarkEnd w:id="6"/>
      <w:r w:rsidR="00E60F2A" w:rsidRPr="00A23536">
        <w:t xml:space="preserve"> </w:t>
      </w:r>
      <w:r w:rsidR="00D07EA8" w:rsidRPr="00A23536">
        <w:t>Statistikk, NTNUs deltakelse i FP7</w:t>
      </w:r>
    </w:p>
    <w:sectPr w:rsidR="00E60F2A" w:rsidRPr="00A23536">
      <w:headerReference w:type="default" r:id="rId10"/>
      <w:footerReference w:type="default" r:id="rId11"/>
      <w:footerReference w:type="first" r:id="rId12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98" w:rsidRDefault="00355898">
      <w:r>
        <w:separator/>
      </w:r>
    </w:p>
  </w:endnote>
  <w:endnote w:type="continuationSeparator" w:id="0">
    <w:p w:rsidR="00355898" w:rsidRDefault="0035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4" w:rsidRDefault="00B74964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53481D">
      <w:rPr>
        <w:rStyle w:val="Sidetall"/>
        <w:noProof/>
        <w:sz w:val="20"/>
      </w:rPr>
      <w:t>5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53481D">
      <w:rPr>
        <w:rStyle w:val="Sidetall"/>
        <w:noProof/>
        <w:sz w:val="20"/>
      </w:rPr>
      <w:t>5</w:t>
    </w:r>
    <w:r>
      <w:rPr>
        <w:rStyle w:val="Sidetall"/>
        <w:sz w:val="20"/>
      </w:rPr>
      <w:fldChar w:fldCharType="end"/>
    </w:r>
  </w:p>
  <w:p w:rsidR="00B74964" w:rsidRDefault="00B74964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B74964" w:rsidRDefault="00B74964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53481D">
      <w:rPr>
        <w:noProof/>
        <w:sz w:val="16"/>
      </w:rPr>
      <w:t>25.09.13 15:47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53481D">
      <w:rPr>
        <w:noProof/>
        <w:sz w:val="16"/>
      </w:rPr>
      <w:t>r:\kollegiet\saker_prot\02.10.13web\o-16.13 euforskning.docx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4" w:rsidRDefault="00B74964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53481D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53481D">
      <w:rPr>
        <w:rStyle w:val="Sidetall"/>
        <w:noProof/>
        <w:sz w:val="20"/>
      </w:rPr>
      <w:t>5</w:t>
    </w:r>
    <w:r>
      <w:rPr>
        <w:rStyle w:val="Sidetall"/>
        <w:sz w:val="20"/>
      </w:rPr>
      <w:fldChar w:fldCharType="end"/>
    </w:r>
  </w:p>
  <w:p w:rsidR="00B74964" w:rsidRDefault="00B74964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B74964" w:rsidRDefault="00B74964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53481D">
      <w:rPr>
        <w:noProof/>
        <w:sz w:val="16"/>
      </w:rPr>
      <w:t>25.09.13 15:47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53481D">
      <w:rPr>
        <w:noProof/>
        <w:sz w:val="16"/>
      </w:rPr>
      <w:t>r:\kollegiet\saker_prot\02.10.13web\o-16.13 euforskning.docx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98" w:rsidRDefault="00355898">
      <w:r>
        <w:separator/>
      </w:r>
    </w:p>
  </w:footnote>
  <w:footnote w:type="continuationSeparator" w:id="0">
    <w:p w:rsidR="00355898" w:rsidRDefault="0035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4" w:rsidRDefault="00B74964">
    <w:pPr>
      <w:pStyle w:val="Topptekst"/>
      <w:spacing w:line="240" w:lineRule="exact"/>
    </w:pPr>
    <w:r>
      <w:t xml:space="preserve"> </w:t>
    </w:r>
  </w:p>
  <w:p w:rsidR="00B74964" w:rsidRDefault="00B74964">
    <w:pPr>
      <w:pStyle w:val="Topptekst"/>
      <w:spacing w:line="240" w:lineRule="exact"/>
    </w:pPr>
    <w:r>
      <w:t xml:space="preserve"> </w:t>
    </w:r>
  </w:p>
  <w:p w:rsidR="00B74964" w:rsidRDefault="00B74964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2F3"/>
    <w:multiLevelType w:val="hybridMultilevel"/>
    <w:tmpl w:val="69DC847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509D1"/>
    <w:multiLevelType w:val="hybridMultilevel"/>
    <w:tmpl w:val="5946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630C1"/>
    <w:multiLevelType w:val="hybridMultilevel"/>
    <w:tmpl w:val="49E408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000EC"/>
    <w:multiLevelType w:val="hybridMultilevel"/>
    <w:tmpl w:val="3E941A62"/>
    <w:lvl w:ilvl="0" w:tplc="695C8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40939"/>
    <w:multiLevelType w:val="hybridMultilevel"/>
    <w:tmpl w:val="560A105E"/>
    <w:lvl w:ilvl="0" w:tplc="3D487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4722"/>
    <w:multiLevelType w:val="hybridMultilevel"/>
    <w:tmpl w:val="63BE07A0"/>
    <w:lvl w:ilvl="0" w:tplc="041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97668"/>
    <w:multiLevelType w:val="hybridMultilevel"/>
    <w:tmpl w:val="98463158"/>
    <w:lvl w:ilvl="0" w:tplc="47F29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C7B76">
      <w:start w:val="5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A1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D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AF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87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3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C5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F69E0"/>
    <w:multiLevelType w:val="hybridMultilevel"/>
    <w:tmpl w:val="2E5ABD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15CA2"/>
    <w:multiLevelType w:val="hybridMultilevel"/>
    <w:tmpl w:val="BA945A62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C43F8"/>
    <w:multiLevelType w:val="hybridMultilevel"/>
    <w:tmpl w:val="9F38C656"/>
    <w:lvl w:ilvl="0" w:tplc="55343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47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A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AE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E0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B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66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09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2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2A"/>
    <w:rsid w:val="000401EA"/>
    <w:rsid w:val="00050B04"/>
    <w:rsid w:val="00072D0A"/>
    <w:rsid w:val="00077DF2"/>
    <w:rsid w:val="000935B9"/>
    <w:rsid w:val="000D2B32"/>
    <w:rsid w:val="000E0D55"/>
    <w:rsid w:val="00106A71"/>
    <w:rsid w:val="001155EB"/>
    <w:rsid w:val="0013374B"/>
    <w:rsid w:val="00134D05"/>
    <w:rsid w:val="0013796B"/>
    <w:rsid w:val="00167919"/>
    <w:rsid w:val="0018555D"/>
    <w:rsid w:val="00194E64"/>
    <w:rsid w:val="001E48A0"/>
    <w:rsid w:val="001F369D"/>
    <w:rsid w:val="002111D5"/>
    <w:rsid w:val="002E78E0"/>
    <w:rsid w:val="00317AD0"/>
    <w:rsid w:val="00320DD7"/>
    <w:rsid w:val="0032560A"/>
    <w:rsid w:val="00326B53"/>
    <w:rsid w:val="00355898"/>
    <w:rsid w:val="00367B95"/>
    <w:rsid w:val="00381BF6"/>
    <w:rsid w:val="003956F9"/>
    <w:rsid w:val="003E0B54"/>
    <w:rsid w:val="003E48C4"/>
    <w:rsid w:val="00404690"/>
    <w:rsid w:val="0040572D"/>
    <w:rsid w:val="004109DB"/>
    <w:rsid w:val="0041228C"/>
    <w:rsid w:val="00462D1C"/>
    <w:rsid w:val="00472257"/>
    <w:rsid w:val="004C4D22"/>
    <w:rsid w:val="004E7864"/>
    <w:rsid w:val="005209B3"/>
    <w:rsid w:val="0053481D"/>
    <w:rsid w:val="00535C36"/>
    <w:rsid w:val="00550D82"/>
    <w:rsid w:val="00581480"/>
    <w:rsid w:val="005D25E7"/>
    <w:rsid w:val="00686425"/>
    <w:rsid w:val="006D5DCF"/>
    <w:rsid w:val="006E413C"/>
    <w:rsid w:val="0072606A"/>
    <w:rsid w:val="00726684"/>
    <w:rsid w:val="00731ECB"/>
    <w:rsid w:val="0075230B"/>
    <w:rsid w:val="00791B44"/>
    <w:rsid w:val="007C207A"/>
    <w:rsid w:val="00803D72"/>
    <w:rsid w:val="0082347D"/>
    <w:rsid w:val="00827DC7"/>
    <w:rsid w:val="00871C43"/>
    <w:rsid w:val="00885F80"/>
    <w:rsid w:val="008B2F77"/>
    <w:rsid w:val="00921266"/>
    <w:rsid w:val="009220E8"/>
    <w:rsid w:val="0097354D"/>
    <w:rsid w:val="00996C78"/>
    <w:rsid w:val="009C51A2"/>
    <w:rsid w:val="009D2497"/>
    <w:rsid w:val="009F44A1"/>
    <w:rsid w:val="00A01E32"/>
    <w:rsid w:val="00A23536"/>
    <w:rsid w:val="00A262DD"/>
    <w:rsid w:val="00A424A5"/>
    <w:rsid w:val="00AA2281"/>
    <w:rsid w:val="00AB1891"/>
    <w:rsid w:val="00AC372F"/>
    <w:rsid w:val="00AC5A79"/>
    <w:rsid w:val="00B100C8"/>
    <w:rsid w:val="00B10EE8"/>
    <w:rsid w:val="00B417EB"/>
    <w:rsid w:val="00B5181A"/>
    <w:rsid w:val="00B6045B"/>
    <w:rsid w:val="00B74964"/>
    <w:rsid w:val="00B759C5"/>
    <w:rsid w:val="00BA444F"/>
    <w:rsid w:val="00BC19D9"/>
    <w:rsid w:val="00BD3E30"/>
    <w:rsid w:val="00BD7747"/>
    <w:rsid w:val="00C25945"/>
    <w:rsid w:val="00C446B7"/>
    <w:rsid w:val="00C5709C"/>
    <w:rsid w:val="00C633C7"/>
    <w:rsid w:val="00C70CBF"/>
    <w:rsid w:val="00C759E9"/>
    <w:rsid w:val="00CB03AD"/>
    <w:rsid w:val="00CB764C"/>
    <w:rsid w:val="00D01A60"/>
    <w:rsid w:val="00D01E7E"/>
    <w:rsid w:val="00D0511B"/>
    <w:rsid w:val="00D05AA3"/>
    <w:rsid w:val="00D07EA8"/>
    <w:rsid w:val="00D370E5"/>
    <w:rsid w:val="00D46508"/>
    <w:rsid w:val="00DB60C9"/>
    <w:rsid w:val="00DC6650"/>
    <w:rsid w:val="00DD5405"/>
    <w:rsid w:val="00E07251"/>
    <w:rsid w:val="00E10B15"/>
    <w:rsid w:val="00E255C1"/>
    <w:rsid w:val="00E60F2A"/>
    <w:rsid w:val="00E6513C"/>
    <w:rsid w:val="00E811C1"/>
    <w:rsid w:val="00E915DC"/>
    <w:rsid w:val="00EB206B"/>
    <w:rsid w:val="00EB793E"/>
    <w:rsid w:val="00EE173D"/>
    <w:rsid w:val="00F14FF0"/>
    <w:rsid w:val="00F23714"/>
    <w:rsid w:val="00F44B09"/>
    <w:rsid w:val="00F50D9C"/>
    <w:rsid w:val="00F91836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Listeavsnitt">
    <w:name w:val="List Paragraph"/>
    <w:basedOn w:val="Normal"/>
    <w:uiPriority w:val="34"/>
    <w:qFormat/>
    <w:rsid w:val="00E60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E915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915D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C446B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446B7"/>
    <w:rPr>
      <w:rFonts w:ascii="Calibri" w:eastAsiaTheme="minorHAnsi" w:hAnsi="Calibri" w:cs="Calibri"/>
      <w:sz w:val="22"/>
      <w:szCs w:val="22"/>
      <w:lang w:eastAsia="en-US"/>
    </w:rPr>
  </w:style>
  <w:style w:type="character" w:styleId="Hyperkobling">
    <w:name w:val="Hyperlink"/>
    <w:basedOn w:val="Standardskriftforavsnitt"/>
    <w:rsid w:val="00CB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Listeavsnitt">
    <w:name w:val="List Paragraph"/>
    <w:basedOn w:val="Normal"/>
    <w:uiPriority w:val="34"/>
    <w:qFormat/>
    <w:rsid w:val="00E60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E915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915D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C446B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446B7"/>
    <w:rPr>
      <w:rFonts w:ascii="Calibri" w:eastAsiaTheme="minorHAnsi" w:hAnsi="Calibri" w:cs="Calibri"/>
      <w:sz w:val="22"/>
      <w:szCs w:val="22"/>
      <w:lang w:eastAsia="en-US"/>
    </w:rPr>
  </w:style>
  <w:style w:type="character" w:styleId="Hyperkobling">
    <w:name w:val="Hyperlink"/>
    <w:basedOn w:val="Standardskriftforavsnitt"/>
    <w:rsid w:val="00CB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8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-16.13%20EUforskning%20vedl.%201%20RBO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O-16.13%20EUforskning%20vedl.%202%20Statistikk%20FP7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RE\KOLL_N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KOLL_NOT.dot</Template>
  <TotalTime>0</TotalTime>
  <Pages>5</Pages>
  <Words>2148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Kolegie notat</dc:subject>
  <dc:creator>Per-Arne Norevik</dc:creator>
  <cp:lastModifiedBy>Beate Knarbakk Reinertsen</cp:lastModifiedBy>
  <cp:revision>11</cp:revision>
  <cp:lastPrinted>2013-09-25T13:47:00Z</cp:lastPrinted>
  <dcterms:created xsi:type="dcterms:W3CDTF">2013-09-24T21:40:00Z</dcterms:created>
  <dcterms:modified xsi:type="dcterms:W3CDTF">2013-09-25T13:47:00Z</dcterms:modified>
</cp:coreProperties>
</file>