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F3" w:rsidRDefault="00AF7848" w:rsidP="001C7BF3">
      <w:pPr>
        <w:spacing w:after="0" w:line="240" w:lineRule="auto"/>
        <w:rPr>
          <w:b/>
          <w:sz w:val="24"/>
        </w:rPr>
      </w:pPr>
      <w:r>
        <w:rPr>
          <w:b/>
          <w:sz w:val="24"/>
        </w:rPr>
        <w:t>VEDLEGG 2</w:t>
      </w:r>
      <w:r w:rsidR="001C7BF3">
        <w:rPr>
          <w:b/>
          <w:sz w:val="24"/>
        </w:rPr>
        <w:t xml:space="preserve">: </w:t>
      </w:r>
    </w:p>
    <w:p w:rsidR="001C7BF3" w:rsidRDefault="00F5540E" w:rsidP="001C7BF3">
      <w:pPr>
        <w:spacing w:before="120" w:after="0" w:line="240" w:lineRule="auto"/>
        <w:rPr>
          <w:b/>
          <w:sz w:val="24"/>
        </w:rPr>
      </w:pPr>
      <w:r>
        <w:rPr>
          <w:b/>
          <w:sz w:val="24"/>
        </w:rPr>
        <w:t xml:space="preserve">Statistikk, </w:t>
      </w:r>
      <w:r w:rsidR="001C7BF3" w:rsidRPr="00DA47C8">
        <w:rPr>
          <w:b/>
          <w:sz w:val="24"/>
        </w:rPr>
        <w:t xml:space="preserve">NTNUs </w:t>
      </w:r>
      <w:r>
        <w:rPr>
          <w:b/>
          <w:sz w:val="24"/>
        </w:rPr>
        <w:t xml:space="preserve">deltakelse i FP7 </w:t>
      </w:r>
    </w:p>
    <w:p w:rsidR="00F5540E" w:rsidRDefault="00F5540E" w:rsidP="001C7BF3">
      <w:pPr>
        <w:spacing w:before="120" w:after="0" w:line="240" w:lineRule="auto"/>
        <w:rPr>
          <w:b/>
          <w:sz w:val="24"/>
        </w:rPr>
      </w:pPr>
    </w:p>
    <w:p w:rsidR="001C7BF3" w:rsidRDefault="001C7BF3" w:rsidP="001C7BF3">
      <w:pPr>
        <w:spacing w:after="0" w:line="240" w:lineRule="auto"/>
        <w:rPr>
          <w:b/>
          <w:sz w:val="24"/>
        </w:rPr>
      </w:pPr>
    </w:p>
    <w:p w:rsidR="00E43DC1" w:rsidRPr="00BA3D5A" w:rsidRDefault="00E43DC1" w:rsidP="00E43DC1">
      <w:pPr>
        <w:spacing w:after="0" w:line="240" w:lineRule="auto"/>
        <w:rPr>
          <w:b/>
        </w:rPr>
      </w:pPr>
      <w:r w:rsidRPr="00BA3D5A">
        <w:rPr>
          <w:b/>
          <w:i/>
        </w:rPr>
        <w:t>Merk</w:t>
      </w:r>
      <w:r w:rsidRPr="00BA3D5A">
        <w:rPr>
          <w:b/>
        </w:rPr>
        <w:t xml:space="preserve">: FP7 løper i perioden 2007 – 2014 og er høsten 2013 inne i sin avslutningsfase. Resultater fra de aller fleste utlysninger under FP7 foreligger, men vi venter fortsatt på tilbakemelding for enkelte programmer/utlysninger. </w:t>
      </w:r>
      <w:r w:rsidR="00BA3D5A">
        <w:rPr>
          <w:b/>
        </w:rPr>
        <w:t>Tallmaterialet i det følgende bygger på resultater pr august</w:t>
      </w:r>
      <w:r w:rsidR="00575D92">
        <w:rPr>
          <w:b/>
        </w:rPr>
        <w:t>/september</w:t>
      </w:r>
      <w:r w:rsidR="00BA3D5A">
        <w:rPr>
          <w:b/>
        </w:rPr>
        <w:t xml:space="preserve"> 2013. </w:t>
      </w:r>
      <w:r w:rsidRPr="00BA3D5A">
        <w:rPr>
          <w:b/>
        </w:rPr>
        <w:t>Endelige resultater fra NTNUs deltakelse i FP7 vil først foreligg</w:t>
      </w:r>
      <w:r w:rsidR="00270B72">
        <w:rPr>
          <w:b/>
        </w:rPr>
        <w:t>e</w:t>
      </w:r>
      <w:r w:rsidRPr="00BA3D5A">
        <w:rPr>
          <w:b/>
        </w:rPr>
        <w:t xml:space="preserve"> ved årsskifte 2013/2014. </w:t>
      </w:r>
    </w:p>
    <w:p w:rsidR="001C7BF3" w:rsidRDefault="001C7BF3" w:rsidP="001C7BF3">
      <w:pPr>
        <w:spacing w:after="0" w:line="240" w:lineRule="auto"/>
        <w:rPr>
          <w:b/>
          <w:sz w:val="24"/>
        </w:rPr>
      </w:pPr>
    </w:p>
    <w:p w:rsidR="00E43DC1" w:rsidRDefault="00E43DC1" w:rsidP="001C7BF3">
      <w:pPr>
        <w:spacing w:after="0" w:line="240" w:lineRule="auto"/>
        <w:rPr>
          <w:b/>
          <w:sz w:val="24"/>
        </w:rPr>
      </w:pPr>
    </w:p>
    <w:p w:rsidR="00E43DC1" w:rsidRDefault="00E43DC1" w:rsidP="001C7BF3">
      <w:pPr>
        <w:spacing w:after="0" w:line="240" w:lineRule="auto"/>
        <w:rPr>
          <w:b/>
          <w:sz w:val="24"/>
        </w:rPr>
      </w:pPr>
    </w:p>
    <w:p w:rsidR="001C7BF3" w:rsidRDefault="001C7BF3" w:rsidP="001C7BF3">
      <w:pPr>
        <w:spacing w:after="0" w:line="240" w:lineRule="auto"/>
      </w:pPr>
      <w:r w:rsidRPr="00577FB6">
        <w:rPr>
          <w:b/>
          <w:i/>
        </w:rPr>
        <w:t>Figur 1</w:t>
      </w:r>
      <w:r w:rsidRPr="001C7BF3">
        <w:t xml:space="preserve"> viser NTNUs bevilgninger fra prosjekter finansiert av EUs 7. rammeprogram for forskning (FP7)</w:t>
      </w:r>
      <w:r>
        <w:t xml:space="preserve"> i perioden 2007 - 2013</w:t>
      </w:r>
      <w:r w:rsidRPr="001C7BF3">
        <w:t xml:space="preserve">. </w:t>
      </w:r>
      <w:r>
        <w:t>Til grunn ligger</w:t>
      </w:r>
      <w:r w:rsidRPr="001C7BF3">
        <w:t xml:space="preserve"> kontraktsfestet</w:t>
      </w:r>
      <w:r>
        <w:t xml:space="preserve"> bevilgning til NTNU. Den grønne grafen viser kumulativ kontraktstilgang for årene 2007 – 2013, mens den røde grafe</w:t>
      </w:r>
      <w:r w:rsidR="00D11992">
        <w:t>n viser kontraktstilgang pr år for de samme årene.</w:t>
      </w:r>
    </w:p>
    <w:p w:rsidR="001C7BF3" w:rsidRDefault="001C7BF3" w:rsidP="001C7BF3">
      <w:pPr>
        <w:spacing w:after="0" w:line="240" w:lineRule="auto"/>
      </w:pPr>
    </w:p>
    <w:p w:rsidR="001C7BF3" w:rsidRDefault="001C7BF3" w:rsidP="001C7BF3">
      <w:pPr>
        <w:spacing w:after="0" w:line="240" w:lineRule="auto"/>
      </w:pPr>
      <w:r>
        <w:t xml:space="preserve">Pr september 2013 er den totale bevilgningen til NTNU fra rammeprogrammet på 467,3 millioner kroner. Det betyr at NTNUs inntektsmål for FP7 på 450 millioner kroner oppfylles. </w:t>
      </w:r>
    </w:p>
    <w:p w:rsidR="001C7BF3" w:rsidRDefault="001C7BF3" w:rsidP="001C7BF3">
      <w:pPr>
        <w:spacing w:after="0" w:line="240" w:lineRule="auto"/>
      </w:pPr>
    </w:p>
    <w:p w:rsidR="001C7BF3" w:rsidRDefault="001C7BF3"/>
    <w:p w:rsidR="001C7BF3" w:rsidRPr="001C7BF3" w:rsidRDefault="001C7BF3">
      <w:pPr>
        <w:rPr>
          <w:b/>
          <w:sz w:val="20"/>
        </w:rPr>
      </w:pPr>
      <w:r>
        <w:rPr>
          <w:b/>
          <w:sz w:val="20"/>
        </w:rPr>
        <w:t xml:space="preserve">Figur 1: </w:t>
      </w:r>
      <w:r w:rsidRPr="001C7BF3">
        <w:rPr>
          <w:b/>
          <w:sz w:val="20"/>
        </w:rPr>
        <w:t>NTNUs bevilgninger fra prosjekter finansiert av EUs 7. rammepr</w:t>
      </w:r>
      <w:r>
        <w:rPr>
          <w:b/>
          <w:sz w:val="20"/>
        </w:rPr>
        <w:t>ogram, 2007 - 2013</w:t>
      </w:r>
    </w:p>
    <w:p w:rsidR="00EC6D50" w:rsidRDefault="001C7BF3">
      <w:r>
        <w:rPr>
          <w:noProof/>
          <w:lang w:eastAsia="nb-NO"/>
        </w:rPr>
        <w:drawing>
          <wp:inline distT="0" distB="0" distL="0" distR="0" wp14:anchorId="54675662" wp14:editId="572784D3">
            <wp:extent cx="5760720" cy="4420676"/>
            <wp:effectExtent l="0" t="0" r="11430" b="18415"/>
            <wp:docPr id="1" name="Diagram 1" title="Finansiering nye kontrakter - pr. år og kumulativ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D50" w:rsidRPr="00EC6D50" w:rsidRDefault="00EC6D50" w:rsidP="00EC6D50">
      <w:r w:rsidRPr="00577FB6">
        <w:rPr>
          <w:b/>
          <w:i/>
        </w:rPr>
        <w:lastRenderedPageBreak/>
        <w:t>Figur 2</w:t>
      </w:r>
      <w:r w:rsidRPr="001C7BF3">
        <w:t xml:space="preserve"> viser </w:t>
      </w:r>
      <w:r w:rsidR="00270B72">
        <w:t>innvilge</w:t>
      </w:r>
      <w:r>
        <w:t>de prosjekter med NTNU som deltaker i FP7 i hele rammeprogramperioden fram til september 2013. Pr september 2013 delt</w:t>
      </w:r>
      <w:r w:rsidR="004E3017">
        <w:t>ar NTNU i 116</w:t>
      </w:r>
      <w:r>
        <w:t xml:space="preserve"> prosjekter i rammeprogrammet. D</w:t>
      </w:r>
      <w:r w:rsidR="00270B72">
        <w:t>en grønne grafen viser innvilge</w:t>
      </w:r>
      <w:r>
        <w:t xml:space="preserve">de prosjekter akkumulert for alle år, mens den røde grafen viser nye prosjekter pr år. Resultatene fra 2013-utlysningen fra FP7 er ikke endelige, og nye prosjekter kan komme til. Det er dog ikke realistisk å forvente mange nye prosjekter utover de vi allerede har registrert fordi resultater fra </w:t>
      </w:r>
      <w:r w:rsidR="00B376D4">
        <w:t xml:space="preserve">relativt </w:t>
      </w:r>
      <w:r>
        <w:t xml:space="preserve">få programmer/utlysninger </w:t>
      </w:r>
      <w:r w:rsidR="00B376D4">
        <w:t>mangler</w:t>
      </w:r>
      <w:r>
        <w:t xml:space="preserve">. </w:t>
      </w:r>
    </w:p>
    <w:p w:rsidR="00EC6D50" w:rsidRPr="001C7BF3" w:rsidRDefault="00EC6D50" w:rsidP="00EC6D50">
      <w:pPr>
        <w:rPr>
          <w:b/>
          <w:sz w:val="20"/>
        </w:rPr>
      </w:pPr>
      <w:r>
        <w:rPr>
          <w:b/>
          <w:sz w:val="20"/>
        </w:rPr>
        <w:br/>
        <w:t>Figur 2: Antall</w:t>
      </w:r>
      <w:r w:rsidRPr="001C7BF3">
        <w:rPr>
          <w:b/>
          <w:sz w:val="20"/>
        </w:rPr>
        <w:t xml:space="preserve"> </w:t>
      </w:r>
      <w:r>
        <w:rPr>
          <w:b/>
          <w:sz w:val="20"/>
        </w:rPr>
        <w:t>innvilgende</w:t>
      </w:r>
      <w:r w:rsidRPr="001C7BF3">
        <w:rPr>
          <w:b/>
          <w:sz w:val="20"/>
        </w:rPr>
        <w:t xml:space="preserve"> </w:t>
      </w:r>
      <w:r>
        <w:rPr>
          <w:b/>
          <w:sz w:val="20"/>
        </w:rPr>
        <w:t xml:space="preserve">prosjekter med NTNU som deltaker i </w:t>
      </w:r>
      <w:r w:rsidRPr="001C7BF3">
        <w:rPr>
          <w:b/>
          <w:sz w:val="20"/>
        </w:rPr>
        <w:t>EUs 7. rammepr</w:t>
      </w:r>
      <w:r>
        <w:rPr>
          <w:b/>
          <w:sz w:val="20"/>
        </w:rPr>
        <w:t>ogram, 2007 - 2013</w:t>
      </w:r>
    </w:p>
    <w:p w:rsidR="00EC6D50" w:rsidRDefault="00D67A85">
      <w:r>
        <w:rPr>
          <w:noProof/>
          <w:lang w:eastAsia="nb-NO"/>
        </w:rPr>
        <w:drawing>
          <wp:inline distT="0" distB="0" distL="0" distR="0" wp14:anchorId="3641954C" wp14:editId="0E9BC61A">
            <wp:extent cx="5760720" cy="4349019"/>
            <wp:effectExtent l="0" t="0" r="11430" b="1397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7A85" w:rsidRDefault="00D67A85"/>
    <w:p w:rsidR="00B376D4" w:rsidRDefault="00BA3D5A">
      <w:r w:rsidRPr="00577FB6">
        <w:rPr>
          <w:b/>
          <w:i/>
        </w:rPr>
        <w:t xml:space="preserve">Figur </w:t>
      </w:r>
      <w:r w:rsidR="002F3167" w:rsidRPr="00577FB6">
        <w:rPr>
          <w:b/>
          <w:i/>
        </w:rPr>
        <w:t>3</w:t>
      </w:r>
      <w:r w:rsidR="00270B72">
        <w:t xml:space="preserve"> viser søknader og innvilge</w:t>
      </w:r>
      <w:r w:rsidR="002F3167">
        <w:t xml:space="preserve">de prosjekter pr år </w:t>
      </w:r>
      <w:r w:rsidR="00575D92">
        <w:t xml:space="preserve">i </w:t>
      </w:r>
      <w:r w:rsidR="002F3167">
        <w:t>FP7 med NTNU som deltaker i perioden 2007–2013. Det har vært en del svingninger fra år til år i søknadsvolumet. Dette henger sammen med at arbeidsprogrammene for de enkelte tematiske programmer har vært endret fra år til år og dermed også NTNUs fagmiljøers søkemuligheter, dvs relevansen av utlysningene. Det store søknadsvolumet i 2007 kan forklares med at oppstarten av FP7 var forsinket og det var et oppdemmet søknadstrykk i FP7s første år. Svak uttelling etter 2007-runden, bl a som resultat av en oversøkning til det nye rammeprogrammet</w:t>
      </w:r>
      <w:r w:rsidR="00575D92">
        <w:t>,</w:t>
      </w:r>
      <w:r w:rsidR="002F3167">
        <w:t xml:space="preserve"> resultatet i en tilbakeholdenhet i NTNUs fagmiljøer i forhold til å søke FP7 i 2008.</w:t>
      </w:r>
      <w:r w:rsidR="009B345F">
        <w:t xml:space="preserve"> </w:t>
      </w:r>
    </w:p>
    <w:p w:rsidR="00D67A85" w:rsidRDefault="009B345F">
      <w:r>
        <w:t xml:space="preserve">Suksessraten har også svingt betydelig fra år </w:t>
      </w:r>
      <w:r w:rsidR="00C55CD9">
        <w:t xml:space="preserve">til år </w:t>
      </w:r>
      <w:r>
        <w:t xml:space="preserve">slik det framkommer i </w:t>
      </w:r>
      <w:r w:rsidRPr="00577FB6">
        <w:rPr>
          <w:b/>
          <w:i/>
        </w:rPr>
        <w:t>tabell 1</w:t>
      </w:r>
      <w:r>
        <w:t xml:space="preserve">. </w:t>
      </w:r>
      <w:r w:rsidR="002F3167">
        <w:t xml:space="preserve">    </w:t>
      </w:r>
    </w:p>
    <w:p w:rsidR="00BA3D5A" w:rsidRPr="001C7BF3" w:rsidRDefault="00BA3D5A" w:rsidP="00BA3D5A">
      <w:pPr>
        <w:rPr>
          <w:b/>
          <w:sz w:val="20"/>
        </w:rPr>
      </w:pPr>
      <w:r>
        <w:rPr>
          <w:b/>
          <w:sz w:val="20"/>
        </w:rPr>
        <w:lastRenderedPageBreak/>
        <w:t xml:space="preserve">Figur 3: Søknader og innvilgede prosjekter med NTNU som deltaker i </w:t>
      </w:r>
      <w:r w:rsidRPr="001C7BF3">
        <w:rPr>
          <w:b/>
          <w:sz w:val="20"/>
        </w:rPr>
        <w:t>EUs 7. rammepr</w:t>
      </w:r>
      <w:r>
        <w:rPr>
          <w:b/>
          <w:sz w:val="20"/>
        </w:rPr>
        <w:t xml:space="preserve">ogram pr år, </w:t>
      </w:r>
      <w:r w:rsidR="00575D92">
        <w:rPr>
          <w:b/>
          <w:sz w:val="20"/>
        </w:rPr>
        <w:t xml:space="preserve">               </w:t>
      </w:r>
      <w:r>
        <w:rPr>
          <w:b/>
          <w:sz w:val="20"/>
        </w:rPr>
        <w:t>2007 - 2013</w:t>
      </w:r>
    </w:p>
    <w:p w:rsidR="00BA3D5A" w:rsidRDefault="00BA3D5A">
      <w:r>
        <w:rPr>
          <w:noProof/>
          <w:lang w:eastAsia="nb-NO"/>
        </w:rPr>
        <w:drawing>
          <wp:inline distT="0" distB="0" distL="0" distR="0" wp14:anchorId="6AE25D44" wp14:editId="04ACE4EF">
            <wp:extent cx="5760720" cy="3479950"/>
            <wp:effectExtent l="0" t="0" r="11430" b="2540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76D4" w:rsidRDefault="00B376D4"/>
    <w:p w:rsidR="00B376D4" w:rsidRDefault="00B376D4">
      <w:r>
        <w:rPr>
          <w:b/>
          <w:sz w:val="20"/>
        </w:rPr>
        <w:t xml:space="preserve">Tabell 1: NTNUs suksessrate i FP7 </w:t>
      </w:r>
    </w:p>
    <w:tbl>
      <w:tblPr>
        <w:tblStyle w:val="Tabellrutenett"/>
        <w:tblW w:w="0" w:type="auto"/>
        <w:tblLook w:val="04A0" w:firstRow="1" w:lastRow="0" w:firstColumn="1" w:lastColumn="0" w:noHBand="0" w:noVBand="1"/>
      </w:tblPr>
      <w:tblGrid>
        <w:gridCol w:w="1384"/>
        <w:gridCol w:w="1701"/>
      </w:tblGrid>
      <w:tr w:rsidR="00B376D4" w:rsidRPr="00B376D4" w:rsidTr="00C55CD9">
        <w:tc>
          <w:tcPr>
            <w:tcW w:w="1384" w:type="dxa"/>
            <w:shd w:val="clear" w:color="auto" w:fill="8DB3E2" w:themeFill="text2" w:themeFillTint="66"/>
          </w:tcPr>
          <w:p w:rsidR="00B376D4" w:rsidRPr="00B376D4" w:rsidRDefault="00B376D4">
            <w:pPr>
              <w:rPr>
                <w:b/>
                <w:sz w:val="20"/>
                <w:szCs w:val="20"/>
              </w:rPr>
            </w:pPr>
            <w:r w:rsidRPr="00B376D4">
              <w:rPr>
                <w:b/>
                <w:sz w:val="20"/>
                <w:szCs w:val="20"/>
              </w:rPr>
              <w:t>År</w:t>
            </w:r>
          </w:p>
        </w:tc>
        <w:tc>
          <w:tcPr>
            <w:tcW w:w="1701" w:type="dxa"/>
            <w:shd w:val="clear" w:color="auto" w:fill="8DB3E2" w:themeFill="text2" w:themeFillTint="66"/>
          </w:tcPr>
          <w:p w:rsidR="00B376D4" w:rsidRPr="00B376D4" w:rsidRDefault="00B376D4">
            <w:pPr>
              <w:rPr>
                <w:b/>
                <w:sz w:val="20"/>
                <w:szCs w:val="20"/>
              </w:rPr>
            </w:pPr>
            <w:r w:rsidRPr="00B376D4">
              <w:rPr>
                <w:b/>
                <w:sz w:val="20"/>
                <w:szCs w:val="20"/>
              </w:rPr>
              <w:t>Suksessrate</w:t>
            </w:r>
          </w:p>
        </w:tc>
      </w:tr>
      <w:tr w:rsidR="00B376D4" w:rsidRPr="00B376D4" w:rsidTr="00340D28">
        <w:tc>
          <w:tcPr>
            <w:tcW w:w="1384" w:type="dxa"/>
          </w:tcPr>
          <w:p w:rsidR="00B376D4" w:rsidRPr="00B376D4" w:rsidRDefault="00B376D4">
            <w:pPr>
              <w:rPr>
                <w:b/>
                <w:sz w:val="20"/>
                <w:szCs w:val="20"/>
              </w:rPr>
            </w:pPr>
            <w:r w:rsidRPr="00B376D4">
              <w:rPr>
                <w:b/>
                <w:sz w:val="20"/>
                <w:szCs w:val="20"/>
              </w:rPr>
              <w:t>2007</w:t>
            </w:r>
          </w:p>
        </w:tc>
        <w:tc>
          <w:tcPr>
            <w:tcW w:w="1701" w:type="dxa"/>
          </w:tcPr>
          <w:p w:rsidR="00B376D4" w:rsidRPr="00B376D4" w:rsidRDefault="00B376D4">
            <w:pPr>
              <w:rPr>
                <w:sz w:val="20"/>
                <w:szCs w:val="20"/>
              </w:rPr>
            </w:pPr>
            <w:r>
              <w:rPr>
                <w:sz w:val="20"/>
                <w:szCs w:val="20"/>
              </w:rPr>
              <w:t>13,6 %</w:t>
            </w:r>
          </w:p>
        </w:tc>
      </w:tr>
      <w:tr w:rsidR="00B376D4" w:rsidRPr="00B376D4" w:rsidTr="00340D28">
        <w:tc>
          <w:tcPr>
            <w:tcW w:w="1384" w:type="dxa"/>
          </w:tcPr>
          <w:p w:rsidR="00B376D4" w:rsidRPr="00B376D4" w:rsidRDefault="00B376D4">
            <w:pPr>
              <w:rPr>
                <w:b/>
                <w:sz w:val="20"/>
                <w:szCs w:val="20"/>
              </w:rPr>
            </w:pPr>
            <w:r w:rsidRPr="00B376D4">
              <w:rPr>
                <w:b/>
                <w:sz w:val="20"/>
                <w:szCs w:val="20"/>
              </w:rPr>
              <w:t>2008</w:t>
            </w:r>
          </w:p>
        </w:tc>
        <w:tc>
          <w:tcPr>
            <w:tcW w:w="1701" w:type="dxa"/>
          </w:tcPr>
          <w:p w:rsidR="00B376D4" w:rsidRPr="00B376D4" w:rsidRDefault="00B376D4">
            <w:pPr>
              <w:rPr>
                <w:sz w:val="20"/>
                <w:szCs w:val="20"/>
              </w:rPr>
            </w:pPr>
            <w:r>
              <w:rPr>
                <w:sz w:val="20"/>
                <w:szCs w:val="20"/>
              </w:rPr>
              <w:t>22,4 %</w:t>
            </w:r>
          </w:p>
        </w:tc>
      </w:tr>
      <w:tr w:rsidR="00B376D4" w:rsidRPr="00B376D4" w:rsidTr="00340D28">
        <w:tc>
          <w:tcPr>
            <w:tcW w:w="1384" w:type="dxa"/>
          </w:tcPr>
          <w:p w:rsidR="00B376D4" w:rsidRPr="00B376D4" w:rsidRDefault="00B376D4">
            <w:pPr>
              <w:rPr>
                <w:b/>
                <w:sz w:val="20"/>
                <w:szCs w:val="20"/>
              </w:rPr>
            </w:pPr>
            <w:r w:rsidRPr="00B376D4">
              <w:rPr>
                <w:b/>
                <w:sz w:val="20"/>
                <w:szCs w:val="20"/>
              </w:rPr>
              <w:t>2009</w:t>
            </w:r>
          </w:p>
        </w:tc>
        <w:tc>
          <w:tcPr>
            <w:tcW w:w="1701" w:type="dxa"/>
          </w:tcPr>
          <w:p w:rsidR="00B376D4" w:rsidRPr="00B376D4" w:rsidRDefault="00B376D4">
            <w:pPr>
              <w:rPr>
                <w:sz w:val="20"/>
                <w:szCs w:val="20"/>
              </w:rPr>
            </w:pPr>
            <w:r>
              <w:rPr>
                <w:sz w:val="20"/>
                <w:szCs w:val="20"/>
              </w:rPr>
              <w:t>17,3 %</w:t>
            </w:r>
          </w:p>
        </w:tc>
      </w:tr>
      <w:tr w:rsidR="00B376D4" w:rsidRPr="00B376D4" w:rsidTr="00340D28">
        <w:tc>
          <w:tcPr>
            <w:tcW w:w="1384" w:type="dxa"/>
          </w:tcPr>
          <w:p w:rsidR="00B376D4" w:rsidRPr="00B376D4" w:rsidRDefault="00B376D4">
            <w:pPr>
              <w:rPr>
                <w:b/>
                <w:sz w:val="20"/>
                <w:szCs w:val="20"/>
              </w:rPr>
            </w:pPr>
            <w:r w:rsidRPr="00B376D4">
              <w:rPr>
                <w:b/>
                <w:sz w:val="20"/>
                <w:szCs w:val="20"/>
              </w:rPr>
              <w:t>2010</w:t>
            </w:r>
          </w:p>
        </w:tc>
        <w:tc>
          <w:tcPr>
            <w:tcW w:w="1701" w:type="dxa"/>
          </w:tcPr>
          <w:p w:rsidR="00B376D4" w:rsidRPr="00B376D4" w:rsidRDefault="00B376D4">
            <w:pPr>
              <w:rPr>
                <w:sz w:val="20"/>
                <w:szCs w:val="20"/>
              </w:rPr>
            </w:pPr>
            <w:r>
              <w:rPr>
                <w:sz w:val="20"/>
                <w:szCs w:val="20"/>
              </w:rPr>
              <w:t>22,8 %</w:t>
            </w:r>
          </w:p>
        </w:tc>
      </w:tr>
      <w:tr w:rsidR="00B376D4" w:rsidRPr="00B376D4" w:rsidTr="00340D28">
        <w:tc>
          <w:tcPr>
            <w:tcW w:w="1384" w:type="dxa"/>
          </w:tcPr>
          <w:p w:rsidR="00B376D4" w:rsidRPr="00B376D4" w:rsidRDefault="00B376D4">
            <w:pPr>
              <w:rPr>
                <w:b/>
                <w:sz w:val="20"/>
                <w:szCs w:val="20"/>
              </w:rPr>
            </w:pPr>
            <w:r w:rsidRPr="00B376D4">
              <w:rPr>
                <w:b/>
                <w:sz w:val="20"/>
                <w:szCs w:val="20"/>
              </w:rPr>
              <w:t>2011</w:t>
            </w:r>
          </w:p>
        </w:tc>
        <w:tc>
          <w:tcPr>
            <w:tcW w:w="1701" w:type="dxa"/>
          </w:tcPr>
          <w:p w:rsidR="00B376D4" w:rsidRPr="00B376D4" w:rsidRDefault="00340D28">
            <w:pPr>
              <w:rPr>
                <w:sz w:val="20"/>
                <w:szCs w:val="20"/>
              </w:rPr>
            </w:pPr>
            <w:r>
              <w:rPr>
                <w:sz w:val="20"/>
                <w:szCs w:val="20"/>
              </w:rPr>
              <w:t>15,5 %</w:t>
            </w:r>
          </w:p>
        </w:tc>
      </w:tr>
      <w:tr w:rsidR="00B376D4" w:rsidRPr="00B376D4" w:rsidTr="00340D28">
        <w:tc>
          <w:tcPr>
            <w:tcW w:w="1384" w:type="dxa"/>
          </w:tcPr>
          <w:p w:rsidR="00B376D4" w:rsidRPr="00B376D4" w:rsidRDefault="00B376D4">
            <w:pPr>
              <w:rPr>
                <w:b/>
                <w:sz w:val="20"/>
                <w:szCs w:val="20"/>
              </w:rPr>
            </w:pPr>
            <w:r w:rsidRPr="00B376D4">
              <w:rPr>
                <w:b/>
                <w:sz w:val="20"/>
                <w:szCs w:val="20"/>
              </w:rPr>
              <w:t>2012</w:t>
            </w:r>
          </w:p>
        </w:tc>
        <w:tc>
          <w:tcPr>
            <w:tcW w:w="1701" w:type="dxa"/>
          </w:tcPr>
          <w:p w:rsidR="00B376D4" w:rsidRPr="00B376D4" w:rsidRDefault="00340D28">
            <w:pPr>
              <w:rPr>
                <w:sz w:val="20"/>
                <w:szCs w:val="20"/>
              </w:rPr>
            </w:pPr>
            <w:r>
              <w:rPr>
                <w:sz w:val="20"/>
                <w:szCs w:val="20"/>
              </w:rPr>
              <w:t>22,1 %</w:t>
            </w:r>
          </w:p>
        </w:tc>
      </w:tr>
      <w:tr w:rsidR="00B376D4" w:rsidRPr="00B376D4" w:rsidTr="00340D28">
        <w:tc>
          <w:tcPr>
            <w:tcW w:w="1384" w:type="dxa"/>
          </w:tcPr>
          <w:p w:rsidR="00B376D4" w:rsidRPr="00B376D4" w:rsidRDefault="00B376D4">
            <w:pPr>
              <w:rPr>
                <w:b/>
                <w:sz w:val="20"/>
                <w:szCs w:val="20"/>
              </w:rPr>
            </w:pPr>
            <w:r w:rsidRPr="00B376D4">
              <w:rPr>
                <w:b/>
                <w:sz w:val="20"/>
                <w:szCs w:val="20"/>
              </w:rPr>
              <w:t>2013</w:t>
            </w:r>
          </w:p>
        </w:tc>
        <w:tc>
          <w:tcPr>
            <w:tcW w:w="1701" w:type="dxa"/>
          </w:tcPr>
          <w:p w:rsidR="00B376D4" w:rsidRPr="00B376D4" w:rsidRDefault="00340D28">
            <w:pPr>
              <w:rPr>
                <w:sz w:val="20"/>
                <w:szCs w:val="20"/>
              </w:rPr>
            </w:pPr>
            <w:r>
              <w:rPr>
                <w:sz w:val="20"/>
                <w:szCs w:val="20"/>
              </w:rPr>
              <w:t>15,2 %</w:t>
            </w:r>
          </w:p>
        </w:tc>
      </w:tr>
      <w:tr w:rsidR="00C55CD9" w:rsidRPr="00B376D4" w:rsidTr="00340D28">
        <w:tc>
          <w:tcPr>
            <w:tcW w:w="1384" w:type="dxa"/>
          </w:tcPr>
          <w:p w:rsidR="00C55CD9" w:rsidRPr="00B376D4" w:rsidRDefault="00C55CD9">
            <w:pPr>
              <w:rPr>
                <w:b/>
                <w:sz w:val="20"/>
                <w:szCs w:val="20"/>
              </w:rPr>
            </w:pPr>
            <w:r>
              <w:rPr>
                <w:b/>
                <w:sz w:val="20"/>
                <w:szCs w:val="20"/>
              </w:rPr>
              <w:t>Samlet</w:t>
            </w:r>
          </w:p>
        </w:tc>
        <w:tc>
          <w:tcPr>
            <w:tcW w:w="1701" w:type="dxa"/>
          </w:tcPr>
          <w:p w:rsidR="00C55CD9" w:rsidRDefault="00052F28">
            <w:pPr>
              <w:rPr>
                <w:sz w:val="20"/>
                <w:szCs w:val="20"/>
              </w:rPr>
            </w:pPr>
            <w:r>
              <w:rPr>
                <w:sz w:val="20"/>
                <w:szCs w:val="20"/>
              </w:rPr>
              <w:t>17,8</w:t>
            </w:r>
            <w:r w:rsidR="00C55CD9">
              <w:rPr>
                <w:sz w:val="20"/>
                <w:szCs w:val="20"/>
              </w:rPr>
              <w:t xml:space="preserve"> %</w:t>
            </w:r>
          </w:p>
        </w:tc>
      </w:tr>
    </w:tbl>
    <w:p w:rsidR="00B376D4" w:rsidRDefault="00B376D4"/>
    <w:p w:rsidR="00575D92" w:rsidRDefault="00575D92"/>
    <w:p w:rsidR="00C57802" w:rsidRDefault="00C55CD9">
      <w:r w:rsidRPr="00577FB6">
        <w:rPr>
          <w:b/>
          <w:i/>
        </w:rPr>
        <w:t>Figur 4</w:t>
      </w:r>
      <w:r>
        <w:t xml:space="preserve"> viser fakultetenes deltakelse i FP7.  Som det går fram er det store variasjoner mellom fakultetene når det gjelder aktivitetsnivå og suksessrate. Det henger selvfølgelig sammen med at noen fakulteter</w:t>
      </w:r>
      <w:r w:rsidR="00575D92">
        <w:t>s</w:t>
      </w:r>
      <w:r>
        <w:t xml:space="preserve"> fagmiljøer har hatt mange søkemuligheter i FP7, mens an</w:t>
      </w:r>
      <w:r w:rsidR="00575D92">
        <w:t>dre bare har</w:t>
      </w:r>
      <w:r>
        <w:t xml:space="preserve"> hatt begrensede muligheter. </w:t>
      </w:r>
      <w:r w:rsidR="00577FB6" w:rsidRPr="00577FB6">
        <w:rPr>
          <w:b/>
          <w:i/>
        </w:rPr>
        <w:t>Tabell 2</w:t>
      </w:r>
      <w:r w:rsidR="00577FB6">
        <w:t xml:space="preserve"> viser fakultetenes suksessrate i FP7. </w:t>
      </w:r>
    </w:p>
    <w:p w:rsidR="00C57802" w:rsidRDefault="00C57802"/>
    <w:p w:rsidR="00C57802" w:rsidRDefault="00C57802"/>
    <w:p w:rsidR="00C57802" w:rsidRDefault="00C57802"/>
    <w:p w:rsidR="00C57802" w:rsidRDefault="00C57802"/>
    <w:p w:rsidR="00C57802" w:rsidRPr="001C7BF3" w:rsidRDefault="00C57802" w:rsidP="00C57802">
      <w:pPr>
        <w:rPr>
          <w:b/>
          <w:sz w:val="20"/>
        </w:rPr>
      </w:pPr>
      <w:r>
        <w:rPr>
          <w:b/>
          <w:sz w:val="20"/>
        </w:rPr>
        <w:t>Figur 4: NTNUs søknader og innvilgede prosjekter til FP7 pr fakultet, 2007 - 2013</w:t>
      </w:r>
    </w:p>
    <w:p w:rsidR="00C57802" w:rsidRDefault="00C57802">
      <w:r>
        <w:rPr>
          <w:noProof/>
          <w:lang w:eastAsia="nb-NO"/>
        </w:rPr>
        <w:drawing>
          <wp:inline distT="0" distB="0" distL="0" distR="0" wp14:anchorId="58177E99" wp14:editId="1469BC83">
            <wp:extent cx="5760720" cy="3209247"/>
            <wp:effectExtent l="0" t="0" r="11430" b="1079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5CD9" w:rsidRDefault="00C55CD9"/>
    <w:p w:rsidR="00C55CD9" w:rsidRDefault="00C55CD9" w:rsidP="00C55CD9">
      <w:r>
        <w:rPr>
          <w:b/>
          <w:sz w:val="20"/>
        </w:rPr>
        <w:t xml:space="preserve">Tabell 2: NTNUs suksessrate i FP7 pr fakultet </w:t>
      </w:r>
    </w:p>
    <w:tbl>
      <w:tblPr>
        <w:tblStyle w:val="Tabellrutenett"/>
        <w:tblW w:w="0" w:type="auto"/>
        <w:tblLook w:val="04A0" w:firstRow="1" w:lastRow="0" w:firstColumn="1" w:lastColumn="0" w:noHBand="0" w:noVBand="1"/>
      </w:tblPr>
      <w:tblGrid>
        <w:gridCol w:w="1384"/>
        <w:gridCol w:w="1194"/>
      </w:tblGrid>
      <w:tr w:rsidR="00C55CD9" w:rsidRPr="00B376D4" w:rsidTr="00C55CD9">
        <w:tc>
          <w:tcPr>
            <w:tcW w:w="1384" w:type="dxa"/>
            <w:shd w:val="clear" w:color="auto" w:fill="8DB3E2" w:themeFill="text2" w:themeFillTint="66"/>
          </w:tcPr>
          <w:p w:rsidR="00C55CD9" w:rsidRPr="00B376D4" w:rsidRDefault="00575D92" w:rsidP="00AB799D">
            <w:pPr>
              <w:rPr>
                <w:b/>
                <w:sz w:val="20"/>
                <w:szCs w:val="20"/>
              </w:rPr>
            </w:pPr>
            <w:r>
              <w:rPr>
                <w:b/>
                <w:sz w:val="20"/>
                <w:szCs w:val="20"/>
              </w:rPr>
              <w:t>Fakultet</w:t>
            </w:r>
          </w:p>
        </w:tc>
        <w:tc>
          <w:tcPr>
            <w:tcW w:w="1194" w:type="dxa"/>
            <w:shd w:val="clear" w:color="auto" w:fill="8DB3E2" w:themeFill="text2" w:themeFillTint="66"/>
          </w:tcPr>
          <w:p w:rsidR="00C55CD9" w:rsidRPr="00B376D4" w:rsidRDefault="00C55CD9" w:rsidP="00AB799D">
            <w:pPr>
              <w:rPr>
                <w:b/>
                <w:sz w:val="20"/>
                <w:szCs w:val="20"/>
              </w:rPr>
            </w:pPr>
            <w:r w:rsidRPr="00B376D4">
              <w:rPr>
                <w:b/>
                <w:sz w:val="20"/>
                <w:szCs w:val="20"/>
              </w:rPr>
              <w:t>Suksessrate</w:t>
            </w:r>
          </w:p>
        </w:tc>
      </w:tr>
      <w:tr w:rsidR="00C55CD9" w:rsidRPr="00B376D4" w:rsidTr="00C55CD9">
        <w:tc>
          <w:tcPr>
            <w:tcW w:w="1384" w:type="dxa"/>
          </w:tcPr>
          <w:p w:rsidR="00C55CD9" w:rsidRPr="00B376D4" w:rsidRDefault="00C55CD9" w:rsidP="00AB799D">
            <w:pPr>
              <w:rPr>
                <w:b/>
                <w:sz w:val="20"/>
                <w:szCs w:val="20"/>
              </w:rPr>
            </w:pPr>
            <w:r>
              <w:rPr>
                <w:b/>
                <w:sz w:val="20"/>
                <w:szCs w:val="20"/>
              </w:rPr>
              <w:t>HF</w:t>
            </w:r>
          </w:p>
        </w:tc>
        <w:tc>
          <w:tcPr>
            <w:tcW w:w="1194" w:type="dxa"/>
          </w:tcPr>
          <w:p w:rsidR="00C55CD9" w:rsidRPr="00B376D4" w:rsidRDefault="00C55CD9" w:rsidP="00C55CD9">
            <w:pPr>
              <w:jc w:val="right"/>
              <w:rPr>
                <w:sz w:val="20"/>
                <w:szCs w:val="20"/>
              </w:rPr>
            </w:pPr>
            <w:r>
              <w:rPr>
                <w:sz w:val="20"/>
                <w:szCs w:val="20"/>
              </w:rPr>
              <w:t xml:space="preserve">  3 %</w:t>
            </w:r>
          </w:p>
        </w:tc>
      </w:tr>
      <w:tr w:rsidR="00C55CD9" w:rsidRPr="00B376D4" w:rsidTr="00C55CD9">
        <w:tc>
          <w:tcPr>
            <w:tcW w:w="1384" w:type="dxa"/>
          </w:tcPr>
          <w:p w:rsidR="00C55CD9" w:rsidRPr="00B376D4" w:rsidRDefault="00C55CD9" w:rsidP="00AB799D">
            <w:pPr>
              <w:rPr>
                <w:b/>
                <w:sz w:val="20"/>
                <w:szCs w:val="20"/>
              </w:rPr>
            </w:pPr>
            <w:r>
              <w:rPr>
                <w:b/>
                <w:sz w:val="20"/>
                <w:szCs w:val="20"/>
              </w:rPr>
              <w:t>DMF</w:t>
            </w:r>
          </w:p>
        </w:tc>
        <w:tc>
          <w:tcPr>
            <w:tcW w:w="1194" w:type="dxa"/>
          </w:tcPr>
          <w:p w:rsidR="00C55CD9" w:rsidRPr="00B376D4" w:rsidRDefault="00C55CD9" w:rsidP="00C55CD9">
            <w:pPr>
              <w:jc w:val="right"/>
              <w:rPr>
                <w:sz w:val="20"/>
                <w:szCs w:val="20"/>
              </w:rPr>
            </w:pPr>
            <w:r>
              <w:rPr>
                <w:sz w:val="20"/>
                <w:szCs w:val="20"/>
              </w:rPr>
              <w:t xml:space="preserve"> 34 %</w:t>
            </w:r>
          </w:p>
        </w:tc>
      </w:tr>
      <w:tr w:rsidR="00C55CD9" w:rsidRPr="00B376D4" w:rsidTr="00C55CD9">
        <w:tc>
          <w:tcPr>
            <w:tcW w:w="1384" w:type="dxa"/>
          </w:tcPr>
          <w:p w:rsidR="00C55CD9" w:rsidRPr="00B376D4" w:rsidRDefault="00C55CD9" w:rsidP="00AB799D">
            <w:pPr>
              <w:rPr>
                <w:b/>
                <w:sz w:val="20"/>
                <w:szCs w:val="20"/>
              </w:rPr>
            </w:pPr>
            <w:r>
              <w:rPr>
                <w:b/>
                <w:sz w:val="20"/>
                <w:szCs w:val="20"/>
              </w:rPr>
              <w:t>AB</w:t>
            </w:r>
          </w:p>
        </w:tc>
        <w:tc>
          <w:tcPr>
            <w:tcW w:w="1194" w:type="dxa"/>
          </w:tcPr>
          <w:p w:rsidR="00C55CD9" w:rsidRPr="00B376D4" w:rsidRDefault="00C55CD9" w:rsidP="00C55CD9">
            <w:pPr>
              <w:jc w:val="right"/>
              <w:rPr>
                <w:sz w:val="20"/>
                <w:szCs w:val="20"/>
              </w:rPr>
            </w:pPr>
            <w:r>
              <w:rPr>
                <w:sz w:val="20"/>
                <w:szCs w:val="20"/>
              </w:rPr>
              <w:t xml:space="preserve">  16 %</w:t>
            </w:r>
          </w:p>
        </w:tc>
      </w:tr>
      <w:tr w:rsidR="00C55CD9" w:rsidRPr="00B376D4" w:rsidTr="00C55CD9">
        <w:tc>
          <w:tcPr>
            <w:tcW w:w="1384" w:type="dxa"/>
          </w:tcPr>
          <w:p w:rsidR="00C55CD9" w:rsidRPr="00B376D4" w:rsidRDefault="00C55CD9" w:rsidP="00AB799D">
            <w:pPr>
              <w:rPr>
                <w:b/>
                <w:sz w:val="20"/>
                <w:szCs w:val="20"/>
              </w:rPr>
            </w:pPr>
            <w:r>
              <w:rPr>
                <w:b/>
                <w:sz w:val="20"/>
                <w:szCs w:val="20"/>
              </w:rPr>
              <w:t>IME</w:t>
            </w:r>
          </w:p>
        </w:tc>
        <w:tc>
          <w:tcPr>
            <w:tcW w:w="1194" w:type="dxa"/>
          </w:tcPr>
          <w:p w:rsidR="00C55CD9" w:rsidRPr="00B376D4" w:rsidRDefault="00C55CD9" w:rsidP="00C55CD9">
            <w:pPr>
              <w:jc w:val="right"/>
              <w:rPr>
                <w:sz w:val="20"/>
                <w:szCs w:val="20"/>
              </w:rPr>
            </w:pPr>
            <w:r>
              <w:rPr>
                <w:sz w:val="20"/>
                <w:szCs w:val="20"/>
              </w:rPr>
              <w:t xml:space="preserve"> 12 %</w:t>
            </w:r>
          </w:p>
        </w:tc>
      </w:tr>
      <w:tr w:rsidR="00C55CD9" w:rsidRPr="00B376D4" w:rsidTr="00C55CD9">
        <w:tc>
          <w:tcPr>
            <w:tcW w:w="1384" w:type="dxa"/>
          </w:tcPr>
          <w:p w:rsidR="00C55CD9" w:rsidRPr="00B376D4" w:rsidRDefault="00C55CD9" w:rsidP="00AB799D">
            <w:pPr>
              <w:rPr>
                <w:b/>
                <w:sz w:val="20"/>
                <w:szCs w:val="20"/>
              </w:rPr>
            </w:pPr>
            <w:r>
              <w:rPr>
                <w:b/>
                <w:sz w:val="20"/>
                <w:szCs w:val="20"/>
              </w:rPr>
              <w:t>IVT</w:t>
            </w:r>
          </w:p>
        </w:tc>
        <w:tc>
          <w:tcPr>
            <w:tcW w:w="1194" w:type="dxa"/>
          </w:tcPr>
          <w:p w:rsidR="00C55CD9" w:rsidRPr="00B376D4" w:rsidRDefault="00C55CD9" w:rsidP="00C55CD9">
            <w:pPr>
              <w:jc w:val="right"/>
              <w:rPr>
                <w:sz w:val="20"/>
                <w:szCs w:val="20"/>
              </w:rPr>
            </w:pPr>
            <w:r>
              <w:rPr>
                <w:sz w:val="20"/>
                <w:szCs w:val="20"/>
              </w:rPr>
              <w:t xml:space="preserve"> 29 %</w:t>
            </w:r>
          </w:p>
        </w:tc>
      </w:tr>
      <w:tr w:rsidR="00C55CD9" w:rsidRPr="00B376D4" w:rsidTr="00C55CD9">
        <w:tc>
          <w:tcPr>
            <w:tcW w:w="1384" w:type="dxa"/>
          </w:tcPr>
          <w:p w:rsidR="00C55CD9" w:rsidRPr="00B376D4" w:rsidRDefault="00C55CD9" w:rsidP="00AB799D">
            <w:pPr>
              <w:rPr>
                <w:b/>
                <w:sz w:val="20"/>
                <w:szCs w:val="20"/>
              </w:rPr>
            </w:pPr>
            <w:r>
              <w:rPr>
                <w:b/>
                <w:sz w:val="20"/>
                <w:szCs w:val="20"/>
              </w:rPr>
              <w:t>NT</w:t>
            </w:r>
          </w:p>
        </w:tc>
        <w:tc>
          <w:tcPr>
            <w:tcW w:w="1194" w:type="dxa"/>
          </w:tcPr>
          <w:p w:rsidR="00C55CD9" w:rsidRPr="00B376D4" w:rsidRDefault="00C55CD9" w:rsidP="00C55CD9">
            <w:pPr>
              <w:jc w:val="right"/>
              <w:rPr>
                <w:sz w:val="20"/>
                <w:szCs w:val="20"/>
              </w:rPr>
            </w:pPr>
            <w:r>
              <w:rPr>
                <w:sz w:val="20"/>
                <w:szCs w:val="20"/>
              </w:rPr>
              <w:t xml:space="preserve"> 16 %</w:t>
            </w:r>
          </w:p>
        </w:tc>
      </w:tr>
      <w:tr w:rsidR="00C55CD9" w:rsidRPr="00B376D4" w:rsidTr="00C55CD9">
        <w:tc>
          <w:tcPr>
            <w:tcW w:w="1384" w:type="dxa"/>
          </w:tcPr>
          <w:p w:rsidR="00C55CD9" w:rsidRPr="00B376D4" w:rsidRDefault="00C55CD9" w:rsidP="00AB799D">
            <w:pPr>
              <w:rPr>
                <w:b/>
                <w:sz w:val="20"/>
                <w:szCs w:val="20"/>
              </w:rPr>
            </w:pPr>
            <w:r>
              <w:rPr>
                <w:b/>
                <w:sz w:val="20"/>
                <w:szCs w:val="20"/>
              </w:rPr>
              <w:t>SVT</w:t>
            </w:r>
          </w:p>
        </w:tc>
        <w:tc>
          <w:tcPr>
            <w:tcW w:w="1194" w:type="dxa"/>
          </w:tcPr>
          <w:p w:rsidR="00C55CD9" w:rsidRPr="00B376D4" w:rsidRDefault="00C55CD9" w:rsidP="00C55CD9">
            <w:pPr>
              <w:jc w:val="right"/>
              <w:rPr>
                <w:sz w:val="20"/>
                <w:szCs w:val="20"/>
              </w:rPr>
            </w:pPr>
            <w:r>
              <w:rPr>
                <w:sz w:val="20"/>
                <w:szCs w:val="20"/>
              </w:rPr>
              <w:t xml:space="preserve"> 11 %</w:t>
            </w:r>
          </w:p>
        </w:tc>
      </w:tr>
      <w:tr w:rsidR="00C55CD9" w:rsidRPr="00B376D4" w:rsidTr="00C55CD9">
        <w:tc>
          <w:tcPr>
            <w:tcW w:w="1384" w:type="dxa"/>
          </w:tcPr>
          <w:p w:rsidR="00C55CD9" w:rsidRDefault="00C55CD9" w:rsidP="00AB799D">
            <w:pPr>
              <w:rPr>
                <w:b/>
                <w:sz w:val="20"/>
                <w:szCs w:val="20"/>
              </w:rPr>
            </w:pPr>
            <w:r>
              <w:rPr>
                <w:b/>
                <w:sz w:val="20"/>
                <w:szCs w:val="20"/>
              </w:rPr>
              <w:t>VM</w:t>
            </w:r>
          </w:p>
        </w:tc>
        <w:tc>
          <w:tcPr>
            <w:tcW w:w="1194" w:type="dxa"/>
          </w:tcPr>
          <w:p w:rsidR="00C55CD9" w:rsidRDefault="00C55CD9" w:rsidP="00C55CD9">
            <w:pPr>
              <w:jc w:val="right"/>
              <w:rPr>
                <w:sz w:val="20"/>
                <w:szCs w:val="20"/>
              </w:rPr>
            </w:pPr>
            <w:r>
              <w:rPr>
                <w:sz w:val="20"/>
                <w:szCs w:val="20"/>
              </w:rPr>
              <w:t>67 %</w:t>
            </w:r>
          </w:p>
        </w:tc>
      </w:tr>
    </w:tbl>
    <w:p w:rsidR="00C55CD9" w:rsidRDefault="00C55CD9"/>
    <w:p w:rsidR="00577FB6" w:rsidRDefault="00577FB6" w:rsidP="00451148">
      <w:pPr>
        <w:rPr>
          <w:b/>
          <w:i/>
        </w:rPr>
      </w:pPr>
    </w:p>
    <w:p w:rsidR="00451148" w:rsidRDefault="00451148" w:rsidP="00451148">
      <w:r w:rsidRPr="00577FB6">
        <w:rPr>
          <w:b/>
          <w:i/>
        </w:rPr>
        <w:t>Tabell 3</w:t>
      </w:r>
      <w:r>
        <w:t xml:space="preserve"> viser at det er en del variasjoner i NTNUs deltakelse i FP7 pr program. Vi ser at ICT-programmet er det programmet NTNU deltar i flest prosjekter i</w:t>
      </w:r>
      <w:r w:rsidR="00577FB6">
        <w:t xml:space="preserve"> med 18 prosjekter</w:t>
      </w:r>
      <w:r>
        <w:t>, men at suksessraten for dette programmet er lav på 12 %. Nest største program er energiprogrammet med 14 pr</w:t>
      </w:r>
      <w:r w:rsidR="00575D92">
        <w:t>osjekter og en suksessrate på 42</w:t>
      </w:r>
      <w:r>
        <w:t xml:space="preserve"> %. </w:t>
      </w:r>
      <w:r w:rsidR="00577FB6">
        <w:t xml:space="preserve">NTNU har relativt mange prosjektdeltakelser og høy suksessrate også for miljøprogrammet og helseprogrammet, mens programmet for samfunnsvitenskap og humaniora (SSH) har en suksessrate på 3 % og ett prosjekt innvilget.  </w:t>
      </w:r>
    </w:p>
    <w:p w:rsidR="00577FB6" w:rsidRDefault="00577FB6" w:rsidP="00451148"/>
    <w:p w:rsidR="00577FB6" w:rsidRDefault="00577FB6" w:rsidP="00451148"/>
    <w:p w:rsidR="00577FB6" w:rsidRDefault="00577FB6" w:rsidP="00451148"/>
    <w:p w:rsidR="00577FB6" w:rsidRDefault="00577FB6" w:rsidP="00451148"/>
    <w:p w:rsidR="00451148" w:rsidRPr="00451148" w:rsidRDefault="00451148" w:rsidP="00451148">
      <w:pPr>
        <w:rPr>
          <w:b/>
          <w:sz w:val="20"/>
        </w:rPr>
      </w:pPr>
      <w:r>
        <w:rPr>
          <w:b/>
          <w:sz w:val="20"/>
        </w:rPr>
        <w:t>Tabell 3</w:t>
      </w:r>
      <w:r w:rsidRPr="00451148">
        <w:rPr>
          <w:b/>
          <w:sz w:val="20"/>
        </w:rPr>
        <w:t>: NTNUs søknader, prosjekter og suksessrate pr program i FP7</w:t>
      </w:r>
    </w:p>
    <w:tbl>
      <w:tblPr>
        <w:tblW w:w="48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3"/>
        <w:gridCol w:w="1052"/>
        <w:gridCol w:w="930"/>
        <w:gridCol w:w="1525"/>
      </w:tblGrid>
      <w:tr w:rsidR="00451148" w:rsidRPr="00365830" w:rsidTr="00451148">
        <w:trPr>
          <w:trHeight w:val="510"/>
        </w:trPr>
        <w:tc>
          <w:tcPr>
            <w:tcW w:w="1323" w:type="dxa"/>
            <w:shd w:val="clear" w:color="auto" w:fill="8DB3E2" w:themeFill="text2" w:themeFillTint="66"/>
            <w:noWrap/>
            <w:vAlign w:val="bottom"/>
            <w:hideMark/>
          </w:tcPr>
          <w:p w:rsidR="00451148" w:rsidRPr="00365830" w:rsidRDefault="00451148" w:rsidP="00AB799D">
            <w:pPr>
              <w:spacing w:after="0" w:line="240" w:lineRule="auto"/>
              <w:rPr>
                <w:rFonts w:ascii="Arial" w:eastAsia="Times New Roman" w:hAnsi="Arial" w:cs="Arial"/>
                <w:b/>
                <w:bCs/>
                <w:sz w:val="20"/>
                <w:szCs w:val="20"/>
                <w:lang w:eastAsia="nb-NO"/>
              </w:rPr>
            </w:pPr>
            <w:r w:rsidRPr="00365830">
              <w:rPr>
                <w:rFonts w:ascii="Arial" w:eastAsia="Times New Roman" w:hAnsi="Arial" w:cs="Arial"/>
                <w:b/>
                <w:bCs/>
                <w:sz w:val="20"/>
                <w:szCs w:val="20"/>
                <w:lang w:eastAsia="nb-NO"/>
              </w:rPr>
              <w:t>Program</w:t>
            </w:r>
          </w:p>
        </w:tc>
        <w:tc>
          <w:tcPr>
            <w:tcW w:w="1052" w:type="dxa"/>
            <w:shd w:val="clear" w:color="auto" w:fill="8DB3E2" w:themeFill="text2" w:themeFillTint="66"/>
            <w:vAlign w:val="bottom"/>
          </w:tcPr>
          <w:p w:rsidR="00451148" w:rsidRDefault="00451148" w:rsidP="00AB799D">
            <w:pPr>
              <w:spacing w:after="0" w:line="240" w:lineRule="auto"/>
              <w:jc w:val="center"/>
              <w:rPr>
                <w:rFonts w:ascii="Arial" w:hAnsi="Arial" w:cs="Arial"/>
                <w:b/>
                <w:bCs/>
                <w:sz w:val="20"/>
                <w:szCs w:val="20"/>
              </w:rPr>
            </w:pPr>
            <w:r>
              <w:rPr>
                <w:rFonts w:ascii="Arial" w:hAnsi="Arial" w:cs="Arial"/>
                <w:b/>
                <w:bCs/>
                <w:sz w:val="20"/>
                <w:szCs w:val="20"/>
              </w:rPr>
              <w:t>Søknader</w:t>
            </w:r>
          </w:p>
        </w:tc>
        <w:tc>
          <w:tcPr>
            <w:tcW w:w="930" w:type="dxa"/>
            <w:shd w:val="clear" w:color="auto" w:fill="8DB3E2" w:themeFill="text2" w:themeFillTint="66"/>
            <w:vAlign w:val="bottom"/>
          </w:tcPr>
          <w:p w:rsidR="00451148" w:rsidRDefault="00451148" w:rsidP="00AB799D">
            <w:pPr>
              <w:spacing w:after="0" w:line="240" w:lineRule="auto"/>
              <w:jc w:val="center"/>
              <w:rPr>
                <w:rFonts w:ascii="Arial" w:hAnsi="Arial" w:cs="Arial"/>
                <w:b/>
                <w:bCs/>
                <w:sz w:val="20"/>
                <w:szCs w:val="20"/>
              </w:rPr>
            </w:pPr>
            <w:r>
              <w:rPr>
                <w:rFonts w:ascii="Arial" w:hAnsi="Arial" w:cs="Arial"/>
                <w:b/>
                <w:bCs/>
                <w:sz w:val="20"/>
                <w:szCs w:val="20"/>
              </w:rPr>
              <w:t>Prosjekt</w:t>
            </w:r>
          </w:p>
        </w:tc>
        <w:tc>
          <w:tcPr>
            <w:tcW w:w="1525" w:type="dxa"/>
            <w:shd w:val="clear" w:color="auto" w:fill="8DB3E2" w:themeFill="text2" w:themeFillTint="66"/>
            <w:vAlign w:val="bottom"/>
          </w:tcPr>
          <w:p w:rsidR="00451148" w:rsidRDefault="00451148" w:rsidP="00AB799D">
            <w:pPr>
              <w:spacing w:after="0" w:line="240" w:lineRule="auto"/>
              <w:jc w:val="center"/>
              <w:rPr>
                <w:rFonts w:ascii="Arial" w:hAnsi="Arial" w:cs="Arial"/>
                <w:b/>
                <w:bCs/>
                <w:sz w:val="20"/>
                <w:szCs w:val="20"/>
              </w:rPr>
            </w:pPr>
            <w:r>
              <w:rPr>
                <w:rFonts w:ascii="Arial" w:hAnsi="Arial" w:cs="Arial"/>
                <w:b/>
                <w:bCs/>
                <w:sz w:val="20"/>
                <w:szCs w:val="20"/>
              </w:rPr>
              <w:t xml:space="preserve">Suksessrate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HEALTH</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32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9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28 %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Pr>
                <w:rFonts w:ascii="Arial" w:eastAsia="Times New Roman" w:hAnsi="Arial" w:cs="Arial"/>
                <w:b/>
                <w:bCs/>
                <w:color w:val="000000"/>
                <w:sz w:val="16"/>
                <w:szCs w:val="16"/>
                <w:lang w:eastAsia="nb-NO"/>
              </w:rPr>
              <w:t>KBBE</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35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5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14 %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ICT</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146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18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12 %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ENERGY</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33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14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42 %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ENVIRONMENT</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40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13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33 %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NMP</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51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9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18 % </w:t>
            </w:r>
          </w:p>
        </w:tc>
      </w:tr>
      <w:tr w:rsidR="00451148" w:rsidRPr="00365830" w:rsidTr="00AB799D">
        <w:trPr>
          <w:trHeight w:val="270"/>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TRANSPORT</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13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3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23 %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SECURITY</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4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25 %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SSH</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33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3 %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ERC</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51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6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12 %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INCO</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2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MCA</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144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23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16 %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RI</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19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8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42 %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SiS</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12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8 % </w:t>
            </w:r>
          </w:p>
        </w:tc>
      </w:tr>
      <w:tr w:rsidR="00451148" w:rsidRPr="00365830" w:rsidTr="00AB799D">
        <w:trPr>
          <w:trHeight w:val="255"/>
        </w:trPr>
        <w:tc>
          <w:tcPr>
            <w:tcW w:w="1323" w:type="dxa"/>
            <w:shd w:val="clear" w:color="FFFFFF" w:fill="FFFFFF"/>
            <w:noWrap/>
            <w:vAlign w:val="bottom"/>
            <w:hideMark/>
          </w:tcPr>
          <w:p w:rsidR="00451148" w:rsidRPr="00365830" w:rsidRDefault="00451148" w:rsidP="00AB799D">
            <w:pPr>
              <w:spacing w:after="0" w:line="240" w:lineRule="auto"/>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SME</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15 </w:t>
            </w:r>
          </w:p>
        </w:tc>
        <w:tc>
          <w:tcPr>
            <w:tcW w:w="0" w:type="auto"/>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1 </w:t>
            </w:r>
          </w:p>
        </w:tc>
        <w:tc>
          <w:tcPr>
            <w:tcW w:w="1525" w:type="dxa"/>
            <w:vAlign w:val="bottom"/>
          </w:tcPr>
          <w:p w:rsidR="00451148" w:rsidRDefault="00451148" w:rsidP="00AB799D">
            <w:pPr>
              <w:spacing w:after="0" w:line="240" w:lineRule="auto"/>
              <w:rPr>
                <w:rFonts w:ascii="Arial" w:hAnsi="Arial" w:cs="Arial"/>
                <w:sz w:val="20"/>
                <w:szCs w:val="20"/>
              </w:rPr>
            </w:pPr>
            <w:r>
              <w:rPr>
                <w:rFonts w:ascii="Arial" w:hAnsi="Arial" w:cs="Arial"/>
                <w:sz w:val="20"/>
                <w:szCs w:val="20"/>
              </w:rPr>
              <w:t xml:space="preserve">        7 % </w:t>
            </w:r>
          </w:p>
        </w:tc>
      </w:tr>
      <w:tr w:rsidR="00451148" w:rsidRPr="00365830" w:rsidTr="00E47854">
        <w:trPr>
          <w:trHeight w:val="270"/>
        </w:trPr>
        <w:tc>
          <w:tcPr>
            <w:tcW w:w="1323" w:type="dxa"/>
            <w:shd w:val="clear" w:color="auto" w:fill="8DB3E2" w:themeFill="text2" w:themeFillTint="66"/>
            <w:noWrap/>
            <w:vAlign w:val="bottom"/>
            <w:hideMark/>
          </w:tcPr>
          <w:p w:rsidR="00451148" w:rsidRPr="00365830" w:rsidRDefault="00451148" w:rsidP="00451148">
            <w:pPr>
              <w:spacing w:after="0" w:line="240" w:lineRule="auto"/>
              <w:rPr>
                <w:rFonts w:ascii="Arial" w:eastAsia="Times New Roman" w:hAnsi="Arial" w:cs="Arial"/>
                <w:b/>
                <w:bCs/>
                <w:sz w:val="20"/>
                <w:szCs w:val="20"/>
                <w:lang w:eastAsia="nb-NO"/>
              </w:rPr>
            </w:pPr>
            <w:r w:rsidRPr="00365830">
              <w:rPr>
                <w:rFonts w:ascii="Arial" w:eastAsia="Times New Roman" w:hAnsi="Arial" w:cs="Arial"/>
                <w:b/>
                <w:bCs/>
                <w:sz w:val="20"/>
                <w:szCs w:val="20"/>
                <w:lang w:eastAsia="nb-NO"/>
              </w:rPr>
              <w:t>Sum</w:t>
            </w:r>
          </w:p>
        </w:tc>
        <w:tc>
          <w:tcPr>
            <w:tcW w:w="0" w:type="auto"/>
            <w:shd w:val="clear" w:color="auto" w:fill="8DB3E2" w:themeFill="text2" w:themeFillTint="66"/>
            <w:vAlign w:val="bottom"/>
          </w:tcPr>
          <w:p w:rsidR="00451148" w:rsidRDefault="00451148" w:rsidP="00451148">
            <w:pPr>
              <w:spacing w:after="0" w:line="240" w:lineRule="auto"/>
              <w:jc w:val="center"/>
              <w:rPr>
                <w:rFonts w:ascii="Arial" w:hAnsi="Arial" w:cs="Arial"/>
                <w:b/>
                <w:bCs/>
                <w:sz w:val="20"/>
                <w:szCs w:val="20"/>
              </w:rPr>
            </w:pPr>
            <w:r>
              <w:rPr>
                <w:rFonts w:ascii="Arial" w:hAnsi="Arial" w:cs="Arial"/>
                <w:b/>
                <w:bCs/>
                <w:sz w:val="20"/>
                <w:szCs w:val="20"/>
              </w:rPr>
              <w:t>630</w:t>
            </w:r>
          </w:p>
        </w:tc>
        <w:tc>
          <w:tcPr>
            <w:tcW w:w="0" w:type="auto"/>
            <w:shd w:val="clear" w:color="auto" w:fill="8DB3E2" w:themeFill="text2" w:themeFillTint="66"/>
            <w:vAlign w:val="bottom"/>
          </w:tcPr>
          <w:p w:rsidR="00451148" w:rsidRDefault="00451148" w:rsidP="00451148">
            <w:pPr>
              <w:spacing w:after="0" w:line="240" w:lineRule="auto"/>
              <w:jc w:val="center"/>
              <w:rPr>
                <w:rFonts w:ascii="Arial" w:hAnsi="Arial" w:cs="Arial"/>
                <w:b/>
                <w:bCs/>
                <w:sz w:val="20"/>
                <w:szCs w:val="20"/>
              </w:rPr>
            </w:pPr>
            <w:r>
              <w:rPr>
                <w:rFonts w:ascii="Arial" w:hAnsi="Arial" w:cs="Arial"/>
                <w:b/>
                <w:bCs/>
                <w:sz w:val="20"/>
                <w:szCs w:val="20"/>
              </w:rPr>
              <w:t>112</w:t>
            </w:r>
          </w:p>
        </w:tc>
        <w:tc>
          <w:tcPr>
            <w:tcW w:w="1525" w:type="dxa"/>
            <w:shd w:val="clear" w:color="auto" w:fill="8DB3E2" w:themeFill="text2" w:themeFillTint="66"/>
            <w:vAlign w:val="bottom"/>
          </w:tcPr>
          <w:p w:rsidR="00451148" w:rsidRDefault="00451148" w:rsidP="00451148">
            <w:pPr>
              <w:spacing w:after="0" w:line="240" w:lineRule="auto"/>
              <w:jc w:val="center"/>
              <w:rPr>
                <w:rFonts w:ascii="Arial" w:hAnsi="Arial" w:cs="Arial"/>
                <w:b/>
                <w:bCs/>
                <w:sz w:val="20"/>
                <w:szCs w:val="20"/>
              </w:rPr>
            </w:pPr>
            <w:r>
              <w:rPr>
                <w:rFonts w:ascii="Arial" w:hAnsi="Arial" w:cs="Arial"/>
                <w:b/>
                <w:bCs/>
                <w:sz w:val="20"/>
                <w:szCs w:val="20"/>
              </w:rPr>
              <w:t>17,8%</w:t>
            </w:r>
          </w:p>
        </w:tc>
      </w:tr>
    </w:tbl>
    <w:p w:rsidR="00A01D02" w:rsidRDefault="00A01D02"/>
    <w:p w:rsidR="00577FB6" w:rsidRDefault="00577FB6"/>
    <w:p w:rsidR="00577FB6" w:rsidRDefault="00577FB6" w:rsidP="00577FB6">
      <w:pPr>
        <w:spacing w:after="0" w:line="240" w:lineRule="auto"/>
      </w:pPr>
      <w:r w:rsidRPr="00577FB6">
        <w:t>NTNUs deltakelser i FP7 som andel av den norske UoH-sektorens deltakelse</w:t>
      </w:r>
      <w:r w:rsidR="00ED190C">
        <w:t xml:space="preserve"> framkommer av tabell</w:t>
      </w:r>
      <w:r w:rsidR="00575D92">
        <w:t>ene</w:t>
      </w:r>
      <w:r w:rsidR="00ED190C">
        <w:t xml:space="preserve"> 4 og 5</w:t>
      </w:r>
      <w:r w:rsidRPr="00577FB6">
        <w:t xml:space="preserve">. </w:t>
      </w:r>
      <w:r w:rsidR="00ED190C">
        <w:rPr>
          <w:b/>
          <w:i/>
        </w:rPr>
        <w:t>Tabell 4</w:t>
      </w:r>
      <w:r>
        <w:t xml:space="preserve"> viser UoH-sektorens deltakelse i FP7, mens </w:t>
      </w:r>
      <w:r w:rsidR="00ED190C">
        <w:rPr>
          <w:b/>
          <w:i/>
        </w:rPr>
        <w:t>tabell 5</w:t>
      </w:r>
      <w:r>
        <w:t xml:space="preserve"> viser universitetenes deltakelse pr august 2013. </w:t>
      </w:r>
    </w:p>
    <w:p w:rsidR="00ED190C" w:rsidRDefault="00ED190C" w:rsidP="00577FB6">
      <w:pPr>
        <w:spacing w:after="0" w:line="240" w:lineRule="auto"/>
      </w:pPr>
    </w:p>
    <w:p w:rsidR="00ED190C" w:rsidRDefault="00ED190C" w:rsidP="00ED190C">
      <w:pPr>
        <w:spacing w:after="0" w:line="240" w:lineRule="auto"/>
      </w:pPr>
      <w:r w:rsidRPr="002F3AF0">
        <w:rPr>
          <w:i/>
        </w:rPr>
        <w:t>Merk</w:t>
      </w:r>
      <w:r>
        <w:t xml:space="preserve"> at tallene i tabell 4 og 5 ikke er identiske med tallen som ligger til grunn for figur 1 og 2. I figur 1 og 2 er de siste nye prosjektene som NTNU deltar i tatt med, mens den tilgjengelige sammenlignbare statistikken ikke har med de siste resultatene fra FP7. </w:t>
      </w:r>
    </w:p>
    <w:p w:rsidR="00577FB6" w:rsidRDefault="00577FB6" w:rsidP="00577FB6">
      <w:pPr>
        <w:spacing w:after="0" w:line="240" w:lineRule="auto"/>
      </w:pPr>
    </w:p>
    <w:p w:rsidR="00577FB6" w:rsidRDefault="00577FB6" w:rsidP="00577FB6">
      <w:pPr>
        <w:spacing w:after="0" w:line="240" w:lineRule="auto"/>
      </w:pPr>
      <w:r>
        <w:t xml:space="preserve">Som det går fram av </w:t>
      </w:r>
      <w:r w:rsidR="00ED190C">
        <w:rPr>
          <w:b/>
          <w:i/>
        </w:rPr>
        <w:t xml:space="preserve">tabell 4 </w:t>
      </w:r>
      <w:r>
        <w:t xml:space="preserve">utgjør universitetenes prosjektdeltakelse i FP7 91 % av sektorens deltakelse, 94 % av sektorens bevilgninger og 96 % av koordinerte prosjekter. </w:t>
      </w:r>
    </w:p>
    <w:p w:rsidR="00577FB6" w:rsidRDefault="00577FB6" w:rsidP="00577FB6">
      <w:pPr>
        <w:spacing w:after="0" w:line="240" w:lineRule="auto"/>
      </w:pPr>
    </w:p>
    <w:p w:rsidR="00577FB6" w:rsidRDefault="00577FB6" w:rsidP="00577FB6">
      <w:pPr>
        <w:spacing w:after="0" w:line="240" w:lineRule="auto"/>
      </w:pPr>
    </w:p>
    <w:p w:rsidR="00577FB6" w:rsidRPr="00093B89" w:rsidRDefault="00ED190C" w:rsidP="00577FB6">
      <w:pPr>
        <w:spacing w:after="0" w:line="240" w:lineRule="auto"/>
        <w:rPr>
          <w:b/>
          <w:sz w:val="20"/>
        </w:rPr>
      </w:pPr>
      <w:r>
        <w:rPr>
          <w:b/>
          <w:sz w:val="20"/>
        </w:rPr>
        <w:t>Tabell 4</w:t>
      </w:r>
      <w:r w:rsidR="00577FB6" w:rsidRPr="00093B89">
        <w:rPr>
          <w:b/>
          <w:sz w:val="20"/>
        </w:rPr>
        <w:t xml:space="preserve">: </w:t>
      </w:r>
      <w:r w:rsidR="00577FB6">
        <w:rPr>
          <w:b/>
          <w:sz w:val="20"/>
        </w:rPr>
        <w:t>D</w:t>
      </w:r>
      <w:r w:rsidR="00577FB6" w:rsidRPr="00093B89">
        <w:rPr>
          <w:b/>
          <w:sz w:val="20"/>
        </w:rPr>
        <w:t xml:space="preserve">en norske UoH-sektorens deltakelse i FP7. </w:t>
      </w:r>
    </w:p>
    <w:p w:rsidR="00577FB6" w:rsidRDefault="00577FB6" w:rsidP="00577FB6">
      <w:pPr>
        <w:spacing w:after="0" w:line="240" w:lineRule="auto"/>
      </w:pPr>
    </w:p>
    <w:p w:rsidR="00577FB6" w:rsidRDefault="00577FB6" w:rsidP="00577FB6">
      <w:pPr>
        <w:spacing w:after="0" w:line="240" w:lineRule="auto"/>
      </w:pPr>
      <w:r w:rsidRPr="00093B89">
        <w:rPr>
          <w:noProof/>
          <w:lang w:eastAsia="nb-NO"/>
        </w:rPr>
        <w:drawing>
          <wp:inline distT="0" distB="0" distL="0" distR="0" wp14:anchorId="2845BD46" wp14:editId="167AF781">
            <wp:extent cx="5760720" cy="1625889"/>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625889"/>
                    </a:xfrm>
                    <a:prstGeom prst="rect">
                      <a:avLst/>
                    </a:prstGeom>
                    <a:noFill/>
                    <a:ln>
                      <a:noFill/>
                    </a:ln>
                  </pic:spPr>
                </pic:pic>
              </a:graphicData>
            </a:graphic>
          </wp:inline>
        </w:drawing>
      </w:r>
    </w:p>
    <w:p w:rsidR="00577FB6" w:rsidRDefault="00577FB6" w:rsidP="00577FB6">
      <w:pPr>
        <w:spacing w:after="0" w:line="240" w:lineRule="auto"/>
      </w:pPr>
    </w:p>
    <w:p w:rsidR="00ED190C" w:rsidRDefault="00ED190C" w:rsidP="00577FB6">
      <w:pPr>
        <w:spacing w:after="0" w:line="240" w:lineRule="auto"/>
      </w:pPr>
    </w:p>
    <w:p w:rsidR="00ED190C" w:rsidRDefault="00ED190C" w:rsidP="00ED190C">
      <w:pPr>
        <w:spacing w:after="0" w:line="240" w:lineRule="auto"/>
      </w:pPr>
      <w:r w:rsidRPr="00ED190C">
        <w:rPr>
          <w:b/>
          <w:i/>
        </w:rPr>
        <w:lastRenderedPageBreak/>
        <w:t>Tabell 5</w:t>
      </w:r>
      <w:r>
        <w:t xml:space="preserve"> viser at norske universiteter til sammen deltar i 443 prosjekter i FP7 pr august 2013 i den statistikken som er sammenlignbar. NTNU står for 110 av prosjektdeltakelsene som tilsvarer 25 %. </w:t>
      </w:r>
    </w:p>
    <w:p w:rsidR="00ED190C" w:rsidRDefault="00ED190C" w:rsidP="00ED190C">
      <w:pPr>
        <w:spacing w:after="0" w:line="240" w:lineRule="auto"/>
      </w:pPr>
      <w:r>
        <w:t xml:space="preserve">NTNU har deltatt i relativt mange søknader til FP7 (f eks nesten 200 søknader mer enn UiB). </w:t>
      </w:r>
    </w:p>
    <w:p w:rsidR="00ED190C" w:rsidRDefault="00ED190C" w:rsidP="00ED190C">
      <w:pPr>
        <w:spacing w:after="0" w:line="240" w:lineRule="auto"/>
      </w:pPr>
    </w:p>
    <w:p w:rsidR="00ED190C" w:rsidRDefault="00ED190C" w:rsidP="00ED190C">
      <w:pPr>
        <w:spacing w:after="0" w:line="240" w:lineRule="auto"/>
      </w:pPr>
      <w:r>
        <w:t xml:space="preserve">Totalt har NTNUs fagmiljøer deltatt i 630 søknader, mens f eks UiO har deltatt i 746 søknader. I forhold til relativt størrelse og antall vitenskapelig stillinger er NTNU det mest aktive norske universitetet på søknadstiden til FP7. </w:t>
      </w:r>
    </w:p>
    <w:p w:rsidR="00ED190C" w:rsidRDefault="00ED190C" w:rsidP="00ED190C">
      <w:pPr>
        <w:spacing w:after="0" w:line="240" w:lineRule="auto"/>
      </w:pPr>
    </w:p>
    <w:p w:rsidR="00ED190C" w:rsidRDefault="00ED190C" w:rsidP="00ED190C">
      <w:pPr>
        <w:spacing w:after="0" w:line="240" w:lineRule="auto"/>
      </w:pPr>
      <w:r>
        <w:t xml:space="preserve">NTNUs tilslagsprosent på 17,5 % er lavere enn snittet for universitetene som ligger på 19,5 %. UiOs tilslagsprosent er neste 2 % høyere enn NTNUs, og UiBs ytterligere 2 % høyere. </w:t>
      </w:r>
    </w:p>
    <w:p w:rsidR="00ED190C" w:rsidRDefault="00ED190C" w:rsidP="00ED190C">
      <w:pPr>
        <w:spacing w:after="0" w:line="240" w:lineRule="auto"/>
      </w:pPr>
    </w:p>
    <w:p w:rsidR="00ED190C" w:rsidRDefault="00ED190C" w:rsidP="00ED190C">
      <w:pPr>
        <w:spacing w:after="0" w:line="240" w:lineRule="auto"/>
      </w:pPr>
      <w:r>
        <w:t xml:space="preserve">I den sammenlignbare </w:t>
      </w:r>
      <w:r w:rsidR="00575D92">
        <w:t xml:space="preserve">statistikken </w:t>
      </w:r>
      <w:r>
        <w:t xml:space="preserve">står NTNU oppført med en bevilgning fra FP7 på 54,8 millioner Euro, mens UiO har en bevilgning på nesten 20 millioner Euro mer enn NTNU.  Den økonomiske tilslagsprosenten er forholdet mellom søkt og innvilget beløp. Det er små variasjoner mellom universitetene når det gjelder økonomisk tilslagsprosent. </w:t>
      </w:r>
    </w:p>
    <w:p w:rsidR="00ED190C" w:rsidRDefault="00ED190C" w:rsidP="00ED190C">
      <w:pPr>
        <w:spacing w:after="0" w:line="240" w:lineRule="auto"/>
      </w:pPr>
    </w:p>
    <w:p w:rsidR="00ED190C" w:rsidRDefault="00ED190C" w:rsidP="00ED190C">
      <w:pPr>
        <w:spacing w:after="0" w:line="240" w:lineRule="auto"/>
      </w:pPr>
      <w:r>
        <w:t xml:space="preserve">Når det gjelder antall koordinerte søknader og prosjekter står NTNU oppført med </w:t>
      </w:r>
      <w:r w:rsidR="00EE1417">
        <w:t xml:space="preserve">181 koordinerte søknader. Dette omfatter både monopartnerprosjekter innenfor ERC og Marie Curie og større samarbeidsprosjekter med </w:t>
      </w:r>
      <w:r w:rsidR="00FD5C89">
        <w:t>flere</w:t>
      </w:r>
      <w:r w:rsidR="009D5A01">
        <w:t xml:space="preserve"> europeiske partnere</w:t>
      </w:r>
      <w:bookmarkStart w:id="0" w:name="_GoBack"/>
      <w:bookmarkEnd w:id="0"/>
      <w:r w:rsidR="00AB799D">
        <w:t>.</w:t>
      </w:r>
    </w:p>
    <w:p w:rsidR="00ED190C" w:rsidRDefault="00ED190C" w:rsidP="00ED190C">
      <w:pPr>
        <w:spacing w:after="0" w:line="240" w:lineRule="auto"/>
      </w:pPr>
    </w:p>
    <w:p w:rsidR="00ED190C" w:rsidRDefault="00ED190C" w:rsidP="00ED190C">
      <w:pPr>
        <w:spacing w:after="0" w:line="240" w:lineRule="auto"/>
      </w:pPr>
    </w:p>
    <w:p w:rsidR="00577FB6" w:rsidRPr="00093B89" w:rsidRDefault="00ED190C" w:rsidP="00577FB6">
      <w:pPr>
        <w:spacing w:after="0" w:line="240" w:lineRule="auto"/>
        <w:rPr>
          <w:b/>
          <w:sz w:val="20"/>
        </w:rPr>
      </w:pPr>
      <w:r>
        <w:rPr>
          <w:b/>
          <w:sz w:val="20"/>
        </w:rPr>
        <w:t>Tabell 5</w:t>
      </w:r>
      <w:r w:rsidR="00577FB6" w:rsidRPr="00093B89">
        <w:rPr>
          <w:b/>
          <w:sz w:val="20"/>
        </w:rPr>
        <w:t xml:space="preserve">: </w:t>
      </w:r>
      <w:r w:rsidR="00577FB6">
        <w:rPr>
          <w:b/>
          <w:sz w:val="20"/>
        </w:rPr>
        <w:t>Norske universiteters deltakelse i FP7</w:t>
      </w:r>
      <w:r w:rsidR="00577FB6" w:rsidRPr="00093B89">
        <w:rPr>
          <w:b/>
          <w:sz w:val="20"/>
        </w:rPr>
        <w:t xml:space="preserve">. </w:t>
      </w:r>
    </w:p>
    <w:p w:rsidR="00577FB6" w:rsidRDefault="00577FB6" w:rsidP="00577FB6">
      <w:pPr>
        <w:spacing w:after="0" w:line="240" w:lineRule="auto"/>
      </w:pPr>
    </w:p>
    <w:p w:rsidR="00577FB6" w:rsidRDefault="00577FB6" w:rsidP="00577FB6">
      <w:pPr>
        <w:spacing w:after="0" w:line="240" w:lineRule="auto"/>
      </w:pPr>
      <w:r w:rsidRPr="00093B89">
        <w:rPr>
          <w:noProof/>
          <w:lang w:eastAsia="nb-NO"/>
        </w:rPr>
        <w:drawing>
          <wp:inline distT="0" distB="0" distL="0" distR="0" wp14:anchorId="0675D7E0" wp14:editId="71E74ED7">
            <wp:extent cx="5760720" cy="234886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348865"/>
                    </a:xfrm>
                    <a:prstGeom prst="rect">
                      <a:avLst/>
                    </a:prstGeom>
                    <a:noFill/>
                    <a:ln>
                      <a:noFill/>
                    </a:ln>
                  </pic:spPr>
                </pic:pic>
              </a:graphicData>
            </a:graphic>
          </wp:inline>
        </w:drawing>
      </w:r>
    </w:p>
    <w:p w:rsidR="00577FB6" w:rsidRDefault="00577FB6" w:rsidP="00577FB6">
      <w:pPr>
        <w:spacing w:after="0" w:line="240" w:lineRule="auto"/>
      </w:pPr>
    </w:p>
    <w:p w:rsidR="00C75B6B" w:rsidRDefault="00C75B6B" w:rsidP="00C75B6B"/>
    <w:p w:rsidR="00C75B6B" w:rsidRDefault="00C75B6B" w:rsidP="00C75B6B">
      <w:r w:rsidRPr="00CE7F74">
        <w:rPr>
          <w:b/>
          <w:i/>
        </w:rPr>
        <w:t>Tabell 6</w:t>
      </w:r>
      <w:r>
        <w:t xml:space="preserve"> viser NTNU, UiO og UiBs profilen i rammeprogrammet.</w:t>
      </w:r>
    </w:p>
    <w:p w:rsidR="00C75B6B" w:rsidRPr="00C75B6B" w:rsidRDefault="00C75B6B" w:rsidP="00C75B6B">
      <w:pPr>
        <w:spacing w:after="0" w:line="240" w:lineRule="auto"/>
      </w:pPr>
      <w:r>
        <w:t>Når det gjelder de 10 tematiske programmene i FP7 står NTNU i den sammenlignbare statistikke</w:t>
      </w:r>
      <w:r w:rsidR="00270B72">
        <w:t>n med 71 prosjekter. Til sammen</w:t>
      </w:r>
      <w:r>
        <w:t xml:space="preserve">ligning har UiO og UiB hhv. 65 og 52 prosjekter. NTNU er dermed sterkere enn begge de to andre store universitetene i denne delen av rammeprogrammet som omfatter samarbeidsprosjekter i større europeiske konsortier. </w:t>
      </w:r>
      <w:r w:rsidRPr="00C75B6B">
        <w:t xml:space="preserve">NTNU koordinerer 11 prosjekter her, mens UiO og UiB koordinerer hhv. 7 og 10 prosjekter. </w:t>
      </w:r>
    </w:p>
    <w:p w:rsidR="00C75B6B" w:rsidRPr="00C75B6B" w:rsidRDefault="00C75B6B" w:rsidP="00C75B6B">
      <w:pPr>
        <w:spacing w:after="0" w:line="240" w:lineRule="auto"/>
      </w:pPr>
    </w:p>
    <w:p w:rsidR="00C75B6B" w:rsidRDefault="00C75B6B" w:rsidP="00C75B6B">
      <w:pPr>
        <w:spacing w:after="0" w:line="240" w:lineRule="auto"/>
      </w:pPr>
      <w:r w:rsidRPr="00176B7F">
        <w:t>Når det gjelder de enkelte tematiske programmer har både UiO og UiB mange pro</w:t>
      </w:r>
      <w:r>
        <w:t xml:space="preserve">sjektdeltakelser innenfor helse </w:t>
      </w:r>
      <w:r w:rsidRPr="00176B7F">
        <w:t xml:space="preserve">(hhv. </w:t>
      </w:r>
      <w:r>
        <w:t xml:space="preserve">18 og 20) mot NTNUs 9 prosjekter. UiB koordinerer 5 helseprosjekter, mens NTNU og UiO koordinerer 2 hver. </w:t>
      </w:r>
    </w:p>
    <w:p w:rsidR="00575D92" w:rsidRPr="00176B7F" w:rsidRDefault="00575D92" w:rsidP="00C75B6B">
      <w:pPr>
        <w:spacing w:after="0" w:line="240" w:lineRule="auto"/>
      </w:pPr>
    </w:p>
    <w:p w:rsidR="00C75B6B" w:rsidRDefault="00C75B6B" w:rsidP="00C75B6B">
      <w:pPr>
        <w:spacing w:after="0" w:line="240" w:lineRule="auto"/>
      </w:pPr>
      <w:r>
        <w:lastRenderedPageBreak/>
        <w:t>Vi ser at det har vært stor aktivitet både fra NTNU og UiO mot ICT-programmet med dårlige tilslagsprosenter på hhv. 12 % og 11 % for begge institusjoner, men likevel med relativt mange prosjektdeltakelse</w:t>
      </w:r>
      <w:r w:rsidR="00270B72">
        <w:t>r</w:t>
      </w:r>
      <w:r>
        <w:t xml:space="preserve">, hvorav et par koordinert ved hver institusjon.  </w:t>
      </w:r>
    </w:p>
    <w:p w:rsidR="00C75B6B" w:rsidRDefault="00C75B6B" w:rsidP="00C75B6B">
      <w:pPr>
        <w:spacing w:after="0" w:line="240" w:lineRule="auto"/>
      </w:pPr>
    </w:p>
    <w:p w:rsidR="00C75B6B" w:rsidRDefault="00C75B6B" w:rsidP="00C75B6B">
      <w:pPr>
        <w:spacing w:after="0" w:line="240" w:lineRule="auto"/>
      </w:pPr>
      <w:r>
        <w:t xml:space="preserve">Energiprogrammet er det programmet ved NTNU med høyest suksessrate på 42 %. NTNU deltar i 14 prosjekter i dette programmet mot UiOs 5 prosjekter. UiB har ingen prosjekter innenfor energidelen av rammeprogrammet. </w:t>
      </w:r>
    </w:p>
    <w:p w:rsidR="00C75B6B" w:rsidRDefault="00C75B6B" w:rsidP="00C75B6B">
      <w:pPr>
        <w:spacing w:after="0" w:line="240" w:lineRule="auto"/>
      </w:pPr>
    </w:p>
    <w:p w:rsidR="00C75B6B" w:rsidRDefault="00C75B6B" w:rsidP="00C75B6B">
      <w:pPr>
        <w:spacing w:after="0" w:line="240" w:lineRule="auto"/>
      </w:pPr>
      <w:r>
        <w:t xml:space="preserve">UiO har mange prosjekter innenfor samfunnsfag og humaniora (SSH og SiS) med tilsammen 20 prosjekter, mot NTNUs 2. Også UiB har flere SSH og SiS med tilsammen 9. </w:t>
      </w:r>
    </w:p>
    <w:p w:rsidR="00C75B6B" w:rsidRDefault="00C75B6B" w:rsidP="00C75B6B">
      <w:pPr>
        <w:spacing w:after="0" w:line="240" w:lineRule="auto"/>
      </w:pPr>
    </w:p>
    <w:p w:rsidR="00C75B6B" w:rsidRDefault="00C75B6B" w:rsidP="00C75B6B">
      <w:pPr>
        <w:spacing w:after="0" w:line="240" w:lineRule="auto"/>
      </w:pPr>
      <w:r>
        <w:t>Vi ser at UiO har langt flere prosjekter i grunnforskningsvirkemidlene ERC og Marie Curie, totalt 61 prosjekter mot NTNUs 28, dvs 33 flere prosjekter enn NTNU på disse to programmene. Dette utgjør f</w:t>
      </w:r>
      <w:r w:rsidR="00575D92">
        <w:t>.</w:t>
      </w:r>
      <w:r>
        <w:t xml:space="preserve"> eks</w:t>
      </w:r>
      <w:r w:rsidR="00575D92">
        <w:t>.</w:t>
      </w:r>
      <w:r>
        <w:t xml:space="preserve"> hele differanse</w:t>
      </w:r>
      <w:r w:rsidR="00270B72">
        <w:t>n</w:t>
      </w:r>
      <w:r>
        <w:t xml:space="preserve"> i antall prosjekter på 34 mellom de to universitetene. UiB har 26 pro</w:t>
      </w:r>
      <w:r w:rsidR="002E1285">
        <w:t xml:space="preserve">sjekter på disse to programmene samlet. </w:t>
      </w:r>
    </w:p>
    <w:p w:rsidR="00C75B6B" w:rsidRDefault="00C75B6B" w:rsidP="00C75B6B">
      <w:pPr>
        <w:spacing w:after="0" w:line="240" w:lineRule="auto"/>
      </w:pPr>
    </w:p>
    <w:p w:rsidR="00472BE4" w:rsidRPr="00093B89" w:rsidRDefault="00472BE4" w:rsidP="00472BE4">
      <w:pPr>
        <w:spacing w:after="0" w:line="240" w:lineRule="auto"/>
        <w:rPr>
          <w:b/>
          <w:sz w:val="20"/>
        </w:rPr>
      </w:pPr>
      <w:r>
        <w:rPr>
          <w:b/>
          <w:sz w:val="20"/>
        </w:rPr>
        <w:t>Tabell 6</w:t>
      </w:r>
      <w:r w:rsidRPr="00093B89">
        <w:rPr>
          <w:b/>
          <w:sz w:val="20"/>
        </w:rPr>
        <w:t xml:space="preserve">: </w:t>
      </w:r>
      <w:r>
        <w:rPr>
          <w:b/>
          <w:sz w:val="20"/>
        </w:rPr>
        <w:t xml:space="preserve">De tre største norske universitetenes profil i FP7 </w:t>
      </w:r>
    </w:p>
    <w:p w:rsidR="00D3254A" w:rsidRDefault="00D3254A"/>
    <w:tbl>
      <w:tblPr>
        <w:tblW w:w="99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7"/>
        <w:gridCol w:w="601"/>
        <w:gridCol w:w="601"/>
        <w:gridCol w:w="601"/>
        <w:gridCol w:w="601"/>
        <w:gridCol w:w="601"/>
        <w:gridCol w:w="601"/>
        <w:gridCol w:w="600"/>
        <w:gridCol w:w="600"/>
        <w:gridCol w:w="600"/>
        <w:gridCol w:w="600"/>
        <w:gridCol w:w="600"/>
        <w:gridCol w:w="600"/>
        <w:gridCol w:w="600"/>
        <w:gridCol w:w="600"/>
        <w:gridCol w:w="600"/>
      </w:tblGrid>
      <w:tr w:rsidR="00D3254A" w:rsidRPr="00365830" w:rsidTr="00DA5CC5">
        <w:trPr>
          <w:trHeight w:val="510"/>
        </w:trPr>
        <w:tc>
          <w:tcPr>
            <w:tcW w:w="917" w:type="dxa"/>
            <w:shd w:val="clear" w:color="auto" w:fill="D6E3BC" w:themeFill="accent3" w:themeFillTint="66"/>
            <w:noWrap/>
            <w:vAlign w:val="bottom"/>
            <w:hideMark/>
          </w:tcPr>
          <w:p w:rsidR="00D3254A" w:rsidRPr="00365830" w:rsidRDefault="00D3254A" w:rsidP="00AB799D">
            <w:pPr>
              <w:spacing w:after="0" w:line="240" w:lineRule="auto"/>
              <w:jc w:val="both"/>
              <w:rPr>
                <w:rFonts w:ascii="Arial" w:eastAsia="Times New Roman" w:hAnsi="Arial" w:cs="Arial"/>
                <w:b/>
                <w:bCs/>
                <w:sz w:val="16"/>
                <w:szCs w:val="16"/>
                <w:lang w:eastAsia="nb-NO"/>
              </w:rPr>
            </w:pPr>
          </w:p>
        </w:tc>
        <w:tc>
          <w:tcPr>
            <w:tcW w:w="3005" w:type="dxa"/>
            <w:gridSpan w:val="5"/>
            <w:shd w:val="clear" w:color="auto" w:fill="C6D9F1" w:themeFill="text2" w:themeFillTint="33"/>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NTNU</w:t>
            </w:r>
          </w:p>
        </w:tc>
        <w:tc>
          <w:tcPr>
            <w:tcW w:w="3001" w:type="dxa"/>
            <w:gridSpan w:val="5"/>
            <w:shd w:val="clear" w:color="auto" w:fill="8DB3E2" w:themeFill="text2" w:themeFillTint="66"/>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UiO</w:t>
            </w:r>
          </w:p>
        </w:tc>
        <w:tc>
          <w:tcPr>
            <w:tcW w:w="3000" w:type="dxa"/>
            <w:gridSpan w:val="5"/>
            <w:shd w:val="clear" w:color="auto" w:fill="548DD4" w:themeFill="text2" w:themeFillTint="99"/>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UiB</w:t>
            </w:r>
          </w:p>
        </w:tc>
      </w:tr>
      <w:tr w:rsidR="00D3254A" w:rsidRPr="00365830" w:rsidTr="00DA5CC5">
        <w:trPr>
          <w:trHeight w:val="510"/>
        </w:trPr>
        <w:tc>
          <w:tcPr>
            <w:tcW w:w="917" w:type="dxa"/>
            <w:shd w:val="clear" w:color="auto" w:fill="D6E3BC" w:themeFill="accent3" w:themeFillTint="66"/>
            <w:noWrap/>
            <w:vAlign w:val="bottom"/>
            <w:hideMark/>
          </w:tcPr>
          <w:p w:rsidR="00D3254A" w:rsidRPr="00365830" w:rsidRDefault="00D3254A" w:rsidP="00AB799D">
            <w:pPr>
              <w:spacing w:after="0" w:line="240" w:lineRule="auto"/>
              <w:jc w:val="both"/>
              <w:rPr>
                <w:rFonts w:ascii="Arial" w:eastAsia="Times New Roman" w:hAnsi="Arial" w:cs="Arial"/>
                <w:b/>
                <w:bCs/>
                <w:sz w:val="16"/>
                <w:szCs w:val="16"/>
                <w:lang w:eastAsia="nb-NO"/>
              </w:rPr>
            </w:pPr>
            <w:r w:rsidRPr="00365830">
              <w:rPr>
                <w:rFonts w:ascii="Arial" w:eastAsia="Times New Roman" w:hAnsi="Arial" w:cs="Arial"/>
                <w:b/>
                <w:bCs/>
                <w:sz w:val="16"/>
                <w:szCs w:val="16"/>
                <w:lang w:eastAsia="nb-NO"/>
              </w:rPr>
              <w:t>Program</w:t>
            </w:r>
          </w:p>
        </w:tc>
        <w:tc>
          <w:tcPr>
            <w:tcW w:w="601" w:type="dxa"/>
            <w:shd w:val="clear" w:color="auto" w:fill="C6D9F1" w:themeFill="text2" w:themeFillTint="33"/>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S</w:t>
            </w:r>
          </w:p>
        </w:tc>
        <w:tc>
          <w:tcPr>
            <w:tcW w:w="601" w:type="dxa"/>
            <w:shd w:val="clear" w:color="auto" w:fill="C6D9F1" w:themeFill="text2" w:themeFillTint="33"/>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P</w:t>
            </w:r>
          </w:p>
        </w:tc>
        <w:tc>
          <w:tcPr>
            <w:tcW w:w="601" w:type="dxa"/>
            <w:shd w:val="clear" w:color="auto" w:fill="C6D9F1" w:themeFill="text2" w:themeFillTint="33"/>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T</w:t>
            </w:r>
          </w:p>
        </w:tc>
        <w:tc>
          <w:tcPr>
            <w:tcW w:w="601" w:type="dxa"/>
            <w:shd w:val="clear" w:color="auto" w:fill="C6D9F1" w:themeFill="text2" w:themeFillTint="33"/>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KS</w:t>
            </w:r>
          </w:p>
        </w:tc>
        <w:tc>
          <w:tcPr>
            <w:tcW w:w="601" w:type="dxa"/>
            <w:shd w:val="clear" w:color="auto" w:fill="C6D9F1" w:themeFill="text2" w:themeFillTint="33"/>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KP</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S</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P</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T</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KS</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KP</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S</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P</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T</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KS</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b/>
                <w:bCs/>
                <w:sz w:val="16"/>
                <w:szCs w:val="16"/>
              </w:rPr>
            </w:pPr>
            <w:r>
              <w:rPr>
                <w:rFonts w:ascii="Arial" w:hAnsi="Arial" w:cs="Arial"/>
                <w:b/>
                <w:bCs/>
                <w:sz w:val="16"/>
                <w:szCs w:val="16"/>
              </w:rPr>
              <w:t>KP</w:t>
            </w:r>
          </w:p>
        </w:tc>
      </w:tr>
      <w:tr w:rsidR="00DA5CC5" w:rsidRPr="00365830" w:rsidTr="00CE769C">
        <w:trPr>
          <w:trHeight w:val="255"/>
        </w:trPr>
        <w:tc>
          <w:tcPr>
            <w:tcW w:w="917" w:type="dxa"/>
            <w:shd w:val="clear" w:color="auto" w:fill="D6E3BC" w:themeFill="accent3" w:themeFillTint="66"/>
            <w:noWrap/>
            <w:vAlign w:val="bottom"/>
            <w:hideMark/>
          </w:tcPr>
          <w:p w:rsidR="00DA5CC5" w:rsidRPr="00365830" w:rsidRDefault="00DA5CC5" w:rsidP="00CE769C">
            <w:pPr>
              <w:spacing w:after="0" w:line="240" w:lineRule="auto"/>
              <w:jc w:val="both"/>
              <w:rPr>
                <w:rFonts w:ascii="Arial" w:eastAsia="Times New Roman" w:hAnsi="Arial" w:cs="Arial"/>
                <w:b/>
                <w:bCs/>
                <w:color w:val="000000"/>
                <w:sz w:val="16"/>
                <w:szCs w:val="16"/>
                <w:lang w:eastAsia="nb-NO"/>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jc w:val="center"/>
              <w:rPr>
                <w:rFonts w:ascii="Arial" w:hAnsi="Arial" w:cs="Arial"/>
                <w:sz w:val="16"/>
                <w:szCs w:val="16"/>
              </w:rPr>
            </w:pP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AB799D">
            <w:pPr>
              <w:spacing w:after="0" w:line="240" w:lineRule="auto"/>
              <w:jc w:val="both"/>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HEALTH</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32</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9</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28%</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5</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68</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18</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26%</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9</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59</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20</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35%</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9</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5</w:t>
            </w: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AB799D">
            <w:pPr>
              <w:spacing w:after="0" w:line="240" w:lineRule="auto"/>
              <w:jc w:val="both"/>
              <w:rPr>
                <w:rFonts w:ascii="Arial" w:eastAsia="Times New Roman" w:hAnsi="Arial" w:cs="Arial"/>
                <w:b/>
                <w:bCs/>
                <w:color w:val="000000"/>
                <w:sz w:val="16"/>
                <w:szCs w:val="16"/>
                <w:lang w:eastAsia="nb-NO"/>
              </w:rPr>
            </w:pPr>
            <w:r>
              <w:rPr>
                <w:rFonts w:ascii="Arial" w:eastAsia="Times New Roman" w:hAnsi="Arial" w:cs="Arial"/>
                <w:b/>
                <w:bCs/>
                <w:color w:val="000000"/>
                <w:sz w:val="16"/>
                <w:szCs w:val="16"/>
                <w:lang w:eastAsia="nb-NO"/>
              </w:rPr>
              <w:t>BIO</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35</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5</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14%</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0</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22</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4</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18%</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0</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20</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6</w:t>
            </w:r>
          </w:p>
        </w:tc>
        <w:tc>
          <w:tcPr>
            <w:tcW w:w="600" w:type="dxa"/>
            <w:shd w:val="clear" w:color="auto" w:fill="548DD4" w:themeFill="text2" w:themeFillTint="99"/>
            <w:vAlign w:val="bottom"/>
          </w:tcPr>
          <w:p w:rsidR="00D3254A" w:rsidRPr="00AB799D" w:rsidRDefault="00176B7F" w:rsidP="00D3254A">
            <w:pPr>
              <w:spacing w:after="0" w:line="240" w:lineRule="auto"/>
              <w:jc w:val="center"/>
              <w:rPr>
                <w:rFonts w:ascii="Arial" w:hAnsi="Arial" w:cs="Arial"/>
                <w:sz w:val="16"/>
                <w:szCs w:val="16"/>
              </w:rPr>
            </w:pPr>
            <w:r>
              <w:rPr>
                <w:rFonts w:ascii="Arial" w:hAnsi="Arial" w:cs="Arial"/>
                <w:sz w:val="16"/>
                <w:szCs w:val="16"/>
              </w:rPr>
              <w:t>30%</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3</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0</w:t>
            </w: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AB799D">
            <w:pPr>
              <w:spacing w:after="0" w:line="240" w:lineRule="auto"/>
              <w:jc w:val="both"/>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ICT</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146</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17</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12%</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24</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3</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117</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13</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11%</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21</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37</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5</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14%</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6</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w:t>
            </w: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AB799D">
            <w:pPr>
              <w:spacing w:after="0" w:line="240" w:lineRule="auto"/>
              <w:jc w:val="both"/>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NMP</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51</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9</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18%</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9</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11</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18%</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3</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5</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3</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60%</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548DD4" w:themeFill="text2" w:themeFillTint="99"/>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w:t>
            </w: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AB799D">
            <w:pPr>
              <w:spacing w:after="0" w:line="240" w:lineRule="auto"/>
              <w:jc w:val="both"/>
              <w:rPr>
                <w:rFonts w:ascii="Arial" w:eastAsia="Times New Roman" w:hAnsi="Arial" w:cs="Arial"/>
                <w:b/>
                <w:bCs/>
                <w:color w:val="000000"/>
                <w:sz w:val="16"/>
                <w:szCs w:val="16"/>
                <w:lang w:eastAsia="nb-NO"/>
              </w:rPr>
            </w:pPr>
            <w:r>
              <w:rPr>
                <w:rFonts w:ascii="Arial" w:eastAsia="Times New Roman" w:hAnsi="Arial" w:cs="Arial"/>
                <w:b/>
                <w:bCs/>
                <w:color w:val="000000"/>
                <w:sz w:val="16"/>
                <w:szCs w:val="16"/>
                <w:lang w:eastAsia="nb-NO"/>
              </w:rPr>
              <w:t>ENERGY</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33</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14</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42%</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17</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5</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29%</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6</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0</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0</w:t>
            </w: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AB799D">
            <w:pPr>
              <w:spacing w:after="0" w:line="240" w:lineRule="auto"/>
              <w:jc w:val="both"/>
              <w:rPr>
                <w:rFonts w:ascii="Arial" w:eastAsia="Times New Roman" w:hAnsi="Arial" w:cs="Arial"/>
                <w:b/>
                <w:bCs/>
                <w:color w:val="000000"/>
                <w:sz w:val="16"/>
                <w:szCs w:val="16"/>
                <w:lang w:eastAsia="nb-NO"/>
              </w:rPr>
            </w:pPr>
            <w:r>
              <w:rPr>
                <w:rFonts w:ascii="Arial" w:eastAsia="Times New Roman" w:hAnsi="Arial" w:cs="Arial"/>
                <w:b/>
                <w:bCs/>
                <w:color w:val="000000"/>
                <w:sz w:val="16"/>
                <w:szCs w:val="16"/>
                <w:lang w:eastAsia="nb-NO"/>
              </w:rPr>
              <w:t>TRANSP</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13</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3</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23%</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100%</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r>
      <w:tr w:rsidR="00D3254A" w:rsidRPr="00365830" w:rsidTr="00DA5CC5">
        <w:trPr>
          <w:trHeight w:val="270"/>
        </w:trPr>
        <w:tc>
          <w:tcPr>
            <w:tcW w:w="917" w:type="dxa"/>
            <w:shd w:val="clear" w:color="auto" w:fill="D6E3BC" w:themeFill="accent3" w:themeFillTint="66"/>
            <w:noWrap/>
            <w:vAlign w:val="bottom"/>
            <w:hideMark/>
          </w:tcPr>
          <w:p w:rsidR="00D3254A" w:rsidRPr="00365830" w:rsidRDefault="00D3254A" w:rsidP="00AB799D">
            <w:pPr>
              <w:spacing w:after="0" w:line="240" w:lineRule="auto"/>
              <w:jc w:val="both"/>
              <w:rPr>
                <w:rFonts w:ascii="Arial" w:eastAsia="Times New Roman" w:hAnsi="Arial" w:cs="Arial"/>
                <w:b/>
                <w:bCs/>
                <w:color w:val="000000"/>
                <w:sz w:val="16"/>
                <w:szCs w:val="16"/>
                <w:lang w:eastAsia="nb-NO"/>
              </w:rPr>
            </w:pPr>
            <w:r>
              <w:rPr>
                <w:rFonts w:ascii="Arial" w:eastAsia="Times New Roman" w:hAnsi="Arial" w:cs="Arial"/>
                <w:b/>
                <w:bCs/>
                <w:color w:val="000000"/>
                <w:sz w:val="16"/>
                <w:szCs w:val="16"/>
                <w:lang w:eastAsia="nb-NO"/>
              </w:rPr>
              <w:t>SECUR</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4</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25%</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10</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3</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30%</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4</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0</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0</w:t>
            </w: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D3254A">
            <w:pPr>
              <w:spacing w:after="0" w:line="240" w:lineRule="auto"/>
              <w:jc w:val="both"/>
              <w:rPr>
                <w:rFonts w:ascii="Arial" w:eastAsia="Times New Roman" w:hAnsi="Arial" w:cs="Arial"/>
                <w:b/>
                <w:bCs/>
                <w:color w:val="000000"/>
                <w:sz w:val="16"/>
                <w:szCs w:val="16"/>
                <w:lang w:eastAsia="nb-NO"/>
              </w:rPr>
            </w:pPr>
            <w:r>
              <w:rPr>
                <w:rFonts w:ascii="Arial" w:eastAsia="Times New Roman" w:hAnsi="Arial" w:cs="Arial"/>
                <w:b/>
                <w:bCs/>
                <w:color w:val="000000"/>
                <w:sz w:val="16"/>
                <w:szCs w:val="16"/>
                <w:lang w:eastAsia="nb-NO"/>
              </w:rPr>
              <w:t>ENV</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40</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13</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33%</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9</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25</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8</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32%</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44</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14</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32%</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w:t>
            </w: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AB799D">
            <w:pPr>
              <w:spacing w:after="0" w:line="240" w:lineRule="auto"/>
              <w:jc w:val="both"/>
              <w:rPr>
                <w:rFonts w:ascii="Arial" w:eastAsia="Times New Roman" w:hAnsi="Arial" w:cs="Arial"/>
                <w:b/>
                <w:bCs/>
                <w:color w:val="000000"/>
                <w:sz w:val="16"/>
                <w:szCs w:val="16"/>
                <w:lang w:eastAsia="nb-NO"/>
              </w:rPr>
            </w:pPr>
            <w:r>
              <w:rPr>
                <w:rFonts w:ascii="Arial" w:eastAsia="Times New Roman" w:hAnsi="Arial" w:cs="Arial"/>
                <w:b/>
                <w:bCs/>
                <w:color w:val="000000"/>
                <w:sz w:val="16"/>
                <w:szCs w:val="16"/>
                <w:lang w:eastAsia="nb-NO"/>
              </w:rPr>
              <w:t>Space</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3</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33%</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6</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17%</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0</w:t>
            </w: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CE769C">
            <w:pPr>
              <w:spacing w:after="0" w:line="240" w:lineRule="auto"/>
              <w:jc w:val="both"/>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SSH</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33</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3%</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17</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0</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64</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10</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16%</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9</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24</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3</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13%</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11</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r>
      <w:tr w:rsidR="00DA5CC5" w:rsidRPr="00365830" w:rsidTr="00CE769C">
        <w:trPr>
          <w:trHeight w:val="255"/>
        </w:trPr>
        <w:tc>
          <w:tcPr>
            <w:tcW w:w="917" w:type="dxa"/>
            <w:shd w:val="clear" w:color="auto" w:fill="D6E3BC" w:themeFill="accent3" w:themeFillTint="66"/>
            <w:noWrap/>
            <w:vAlign w:val="bottom"/>
            <w:hideMark/>
          </w:tcPr>
          <w:p w:rsidR="00DA5CC5" w:rsidRPr="00365830" w:rsidRDefault="00DA5CC5" w:rsidP="00CE769C">
            <w:pPr>
              <w:spacing w:after="0" w:line="240" w:lineRule="auto"/>
              <w:jc w:val="both"/>
              <w:rPr>
                <w:rFonts w:ascii="Arial" w:eastAsia="Times New Roman" w:hAnsi="Arial" w:cs="Arial"/>
                <w:b/>
                <w:bCs/>
                <w:color w:val="000000"/>
                <w:sz w:val="16"/>
                <w:szCs w:val="16"/>
                <w:lang w:eastAsia="nb-NO"/>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jc w:val="center"/>
              <w:rPr>
                <w:rFonts w:ascii="Arial" w:hAnsi="Arial" w:cs="Arial"/>
                <w:sz w:val="16"/>
                <w:szCs w:val="16"/>
              </w:rPr>
            </w:pP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CE769C">
            <w:pPr>
              <w:spacing w:after="0" w:line="240" w:lineRule="auto"/>
              <w:jc w:val="both"/>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RI</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19</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8</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42%</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5</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14</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4</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29%</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18</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10</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56%</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CE769C">
            <w:pPr>
              <w:spacing w:after="0" w:line="240" w:lineRule="auto"/>
              <w:jc w:val="both"/>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SME</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15</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7%</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3</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0</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5</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20%</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0</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4</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25%</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CE769C">
            <w:pPr>
              <w:spacing w:after="0" w:line="240" w:lineRule="auto"/>
              <w:jc w:val="both"/>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SiS</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12</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8%</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5</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24</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10</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42%</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3</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19</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6</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32%</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6</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w:t>
            </w:r>
          </w:p>
        </w:tc>
      </w:tr>
      <w:tr w:rsidR="00DA5CC5" w:rsidRPr="00365830" w:rsidTr="00DA5CC5">
        <w:trPr>
          <w:trHeight w:val="255"/>
        </w:trPr>
        <w:tc>
          <w:tcPr>
            <w:tcW w:w="917" w:type="dxa"/>
            <w:shd w:val="clear" w:color="auto" w:fill="D6E3BC" w:themeFill="accent3" w:themeFillTint="66"/>
            <w:noWrap/>
            <w:vAlign w:val="bottom"/>
            <w:hideMark/>
          </w:tcPr>
          <w:p w:rsidR="00DA5CC5" w:rsidRPr="00365830" w:rsidRDefault="00DA5CC5" w:rsidP="00CE769C">
            <w:pPr>
              <w:spacing w:after="0" w:line="240" w:lineRule="auto"/>
              <w:jc w:val="both"/>
              <w:rPr>
                <w:rFonts w:ascii="Arial" w:eastAsia="Times New Roman" w:hAnsi="Arial" w:cs="Arial"/>
                <w:b/>
                <w:bCs/>
                <w:color w:val="000000"/>
                <w:sz w:val="16"/>
                <w:szCs w:val="16"/>
                <w:lang w:eastAsia="nb-NO"/>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C6D9F1" w:themeFill="text2" w:themeFillTint="33"/>
            <w:vAlign w:val="bottom"/>
          </w:tcPr>
          <w:p w:rsidR="00DA5CC5" w:rsidRPr="00AB799D" w:rsidRDefault="00DA5CC5" w:rsidP="00DA5CC5">
            <w:pPr>
              <w:spacing w:after="0" w:line="240" w:lineRule="auto"/>
              <w:rPr>
                <w:rFonts w:ascii="Arial" w:hAnsi="Arial" w:cs="Arial"/>
                <w:sz w:val="16"/>
                <w:szCs w:val="16"/>
              </w:rPr>
            </w:pPr>
          </w:p>
        </w:tc>
        <w:tc>
          <w:tcPr>
            <w:tcW w:w="601" w:type="dxa"/>
            <w:shd w:val="clear" w:color="auto" w:fill="C6D9F1" w:themeFill="text2" w:themeFillTint="33"/>
            <w:vAlign w:val="bottom"/>
          </w:tcPr>
          <w:p w:rsidR="00DA5CC5" w:rsidRPr="00AB799D" w:rsidRDefault="00DA5CC5" w:rsidP="00DA5CC5">
            <w:pPr>
              <w:spacing w:after="0" w:line="240" w:lineRule="auto"/>
              <w:jc w:val="center"/>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548DD4" w:themeFill="text2" w:themeFillTint="99"/>
            <w:vAlign w:val="bottom"/>
          </w:tcPr>
          <w:p w:rsidR="00DA5CC5" w:rsidRPr="00AB799D" w:rsidRDefault="00DA5CC5" w:rsidP="00DA5CC5">
            <w:pPr>
              <w:spacing w:after="0" w:line="240" w:lineRule="auto"/>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548DD4" w:themeFill="text2" w:themeFillTint="99"/>
            <w:vAlign w:val="bottom"/>
          </w:tcPr>
          <w:p w:rsidR="00DA5CC5" w:rsidRPr="00AB799D" w:rsidRDefault="00DA5CC5" w:rsidP="00DA5CC5">
            <w:pPr>
              <w:spacing w:after="0" w:line="240" w:lineRule="auto"/>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jc w:val="center"/>
              <w:rPr>
                <w:rFonts w:ascii="Arial" w:hAnsi="Arial" w:cs="Arial"/>
                <w:sz w:val="16"/>
                <w:szCs w:val="16"/>
              </w:rPr>
            </w:pP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AB799D">
            <w:pPr>
              <w:spacing w:after="0" w:line="240" w:lineRule="auto"/>
              <w:jc w:val="both"/>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ERC</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51</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6</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12%</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46</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6</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152</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22</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14%</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142</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21</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89</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7</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8%</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81</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7</w:t>
            </w:r>
          </w:p>
        </w:tc>
      </w:tr>
      <w:tr w:rsidR="00D3254A" w:rsidRPr="00365830" w:rsidTr="00DA5CC5">
        <w:trPr>
          <w:trHeight w:val="255"/>
        </w:trPr>
        <w:tc>
          <w:tcPr>
            <w:tcW w:w="917" w:type="dxa"/>
            <w:shd w:val="clear" w:color="auto" w:fill="D6E3BC" w:themeFill="accent3" w:themeFillTint="66"/>
            <w:noWrap/>
            <w:vAlign w:val="bottom"/>
            <w:hideMark/>
          </w:tcPr>
          <w:p w:rsidR="00D3254A" w:rsidRPr="00365830" w:rsidRDefault="00D3254A" w:rsidP="00AB799D">
            <w:pPr>
              <w:spacing w:after="0" w:line="240" w:lineRule="auto"/>
              <w:jc w:val="both"/>
              <w:rPr>
                <w:rFonts w:ascii="Arial" w:eastAsia="Times New Roman" w:hAnsi="Arial" w:cs="Arial"/>
                <w:b/>
                <w:bCs/>
                <w:color w:val="000000"/>
                <w:sz w:val="16"/>
                <w:szCs w:val="16"/>
                <w:lang w:eastAsia="nb-NO"/>
              </w:rPr>
            </w:pPr>
            <w:r w:rsidRPr="00365830">
              <w:rPr>
                <w:rFonts w:ascii="Arial" w:eastAsia="Times New Roman" w:hAnsi="Arial" w:cs="Arial"/>
                <w:b/>
                <w:bCs/>
                <w:color w:val="000000"/>
                <w:sz w:val="16"/>
                <w:szCs w:val="16"/>
                <w:lang w:eastAsia="nb-NO"/>
              </w:rPr>
              <w:t>MCA</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144</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22</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15%</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54</w:t>
            </w:r>
          </w:p>
        </w:tc>
        <w:tc>
          <w:tcPr>
            <w:tcW w:w="601" w:type="dxa"/>
            <w:shd w:val="clear" w:color="auto" w:fill="C6D9F1" w:themeFill="text2" w:themeFillTint="33"/>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10</w:t>
            </w:r>
          </w:p>
        </w:tc>
        <w:tc>
          <w:tcPr>
            <w:tcW w:w="601"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210</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39</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19%</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108</w:t>
            </w:r>
          </w:p>
        </w:tc>
        <w:tc>
          <w:tcPr>
            <w:tcW w:w="600" w:type="dxa"/>
            <w:shd w:val="clear" w:color="auto" w:fill="8DB3E2" w:themeFill="text2" w:themeFillTint="66"/>
            <w:vAlign w:val="bottom"/>
          </w:tcPr>
          <w:p w:rsidR="00D3254A" w:rsidRPr="00AB799D" w:rsidRDefault="00D3254A" w:rsidP="00D3254A">
            <w:pPr>
              <w:spacing w:after="0" w:line="240" w:lineRule="auto"/>
              <w:jc w:val="center"/>
              <w:rPr>
                <w:rFonts w:ascii="Arial" w:hAnsi="Arial" w:cs="Arial"/>
                <w:sz w:val="16"/>
                <w:szCs w:val="16"/>
              </w:rPr>
            </w:pPr>
            <w:r>
              <w:rPr>
                <w:rFonts w:ascii="Arial" w:hAnsi="Arial" w:cs="Arial"/>
                <w:sz w:val="16"/>
                <w:szCs w:val="16"/>
              </w:rPr>
              <w:t>19</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111</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19</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17%</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61</w:t>
            </w:r>
          </w:p>
        </w:tc>
        <w:tc>
          <w:tcPr>
            <w:tcW w:w="600" w:type="dxa"/>
            <w:shd w:val="clear" w:color="auto" w:fill="548DD4" w:themeFill="text2" w:themeFillTint="99"/>
            <w:vAlign w:val="bottom"/>
          </w:tcPr>
          <w:p w:rsidR="00D3254A" w:rsidRPr="00AB799D" w:rsidRDefault="00472BE4" w:rsidP="00D3254A">
            <w:pPr>
              <w:spacing w:after="0" w:line="240" w:lineRule="auto"/>
              <w:jc w:val="center"/>
              <w:rPr>
                <w:rFonts w:ascii="Arial" w:hAnsi="Arial" w:cs="Arial"/>
                <w:sz w:val="16"/>
                <w:szCs w:val="16"/>
              </w:rPr>
            </w:pPr>
            <w:r>
              <w:rPr>
                <w:rFonts w:ascii="Arial" w:hAnsi="Arial" w:cs="Arial"/>
                <w:sz w:val="16"/>
                <w:szCs w:val="16"/>
              </w:rPr>
              <w:t>11</w:t>
            </w:r>
          </w:p>
        </w:tc>
      </w:tr>
      <w:tr w:rsidR="00DA5CC5" w:rsidRPr="00365830" w:rsidTr="00CE769C">
        <w:trPr>
          <w:trHeight w:val="255"/>
        </w:trPr>
        <w:tc>
          <w:tcPr>
            <w:tcW w:w="917" w:type="dxa"/>
            <w:shd w:val="clear" w:color="auto" w:fill="D6E3BC" w:themeFill="accent3" w:themeFillTint="66"/>
            <w:noWrap/>
            <w:vAlign w:val="bottom"/>
            <w:hideMark/>
          </w:tcPr>
          <w:p w:rsidR="00DA5CC5" w:rsidRPr="00365830" w:rsidRDefault="00DA5CC5" w:rsidP="00CE769C">
            <w:pPr>
              <w:spacing w:after="0" w:line="240" w:lineRule="auto"/>
              <w:jc w:val="both"/>
              <w:rPr>
                <w:rFonts w:ascii="Arial" w:eastAsia="Times New Roman" w:hAnsi="Arial" w:cs="Arial"/>
                <w:b/>
                <w:bCs/>
                <w:color w:val="000000"/>
                <w:sz w:val="16"/>
                <w:szCs w:val="16"/>
                <w:lang w:eastAsia="nb-NO"/>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C6D9F1" w:themeFill="text2" w:themeFillTint="33"/>
            <w:vAlign w:val="bottom"/>
          </w:tcPr>
          <w:p w:rsidR="00DA5CC5" w:rsidRPr="00AB799D" w:rsidRDefault="00DA5CC5" w:rsidP="00CE769C">
            <w:pPr>
              <w:spacing w:after="0" w:line="240" w:lineRule="auto"/>
              <w:jc w:val="center"/>
              <w:rPr>
                <w:rFonts w:ascii="Arial" w:hAnsi="Arial" w:cs="Arial"/>
                <w:sz w:val="16"/>
                <w:szCs w:val="16"/>
              </w:rPr>
            </w:pPr>
          </w:p>
        </w:tc>
        <w:tc>
          <w:tcPr>
            <w:tcW w:w="601"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8DB3E2" w:themeFill="text2" w:themeFillTint="66"/>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jc w:val="center"/>
              <w:rPr>
                <w:rFonts w:ascii="Arial" w:hAnsi="Arial" w:cs="Arial"/>
                <w:sz w:val="16"/>
                <w:szCs w:val="16"/>
              </w:rPr>
            </w:pPr>
          </w:p>
        </w:tc>
        <w:tc>
          <w:tcPr>
            <w:tcW w:w="600" w:type="dxa"/>
            <w:shd w:val="clear" w:color="auto" w:fill="548DD4" w:themeFill="text2" w:themeFillTint="99"/>
            <w:vAlign w:val="bottom"/>
          </w:tcPr>
          <w:p w:rsidR="00DA5CC5" w:rsidRPr="00AB799D" w:rsidRDefault="00DA5CC5" w:rsidP="00CE769C">
            <w:pPr>
              <w:spacing w:after="0" w:line="240" w:lineRule="auto"/>
              <w:jc w:val="center"/>
              <w:rPr>
                <w:rFonts w:ascii="Arial" w:hAnsi="Arial" w:cs="Arial"/>
                <w:sz w:val="16"/>
                <w:szCs w:val="16"/>
              </w:rPr>
            </w:pPr>
          </w:p>
        </w:tc>
      </w:tr>
      <w:tr w:rsidR="00D3254A" w:rsidRPr="00D3254A" w:rsidTr="00DA5CC5">
        <w:trPr>
          <w:trHeight w:val="255"/>
        </w:trPr>
        <w:tc>
          <w:tcPr>
            <w:tcW w:w="917" w:type="dxa"/>
            <w:shd w:val="clear" w:color="auto" w:fill="D6E3BC" w:themeFill="accent3" w:themeFillTint="66"/>
            <w:noWrap/>
            <w:vAlign w:val="bottom"/>
          </w:tcPr>
          <w:p w:rsidR="00D3254A" w:rsidRPr="00D3254A" w:rsidRDefault="00D3254A" w:rsidP="00AB799D">
            <w:pPr>
              <w:spacing w:after="0" w:line="240" w:lineRule="auto"/>
              <w:jc w:val="both"/>
              <w:rPr>
                <w:rFonts w:ascii="Arial" w:eastAsia="Times New Roman" w:hAnsi="Arial" w:cs="Arial"/>
                <w:b/>
                <w:bCs/>
                <w:color w:val="000000"/>
                <w:sz w:val="16"/>
                <w:szCs w:val="16"/>
                <w:lang w:eastAsia="nb-NO"/>
              </w:rPr>
            </w:pPr>
            <w:r w:rsidRPr="00D3254A">
              <w:rPr>
                <w:rFonts w:ascii="Arial" w:eastAsia="Times New Roman" w:hAnsi="Arial" w:cs="Arial"/>
                <w:b/>
                <w:bCs/>
                <w:color w:val="000000"/>
                <w:sz w:val="16"/>
                <w:szCs w:val="16"/>
                <w:lang w:eastAsia="nb-NO"/>
              </w:rPr>
              <w:t>Totalt</w:t>
            </w:r>
          </w:p>
        </w:tc>
        <w:tc>
          <w:tcPr>
            <w:tcW w:w="601" w:type="dxa"/>
            <w:shd w:val="clear" w:color="auto" w:fill="C6D9F1" w:themeFill="text2" w:themeFillTint="33"/>
            <w:vAlign w:val="bottom"/>
          </w:tcPr>
          <w:p w:rsidR="00D3254A" w:rsidRPr="00D3254A" w:rsidRDefault="00472BE4" w:rsidP="00D3254A">
            <w:pPr>
              <w:spacing w:after="0" w:line="240" w:lineRule="auto"/>
              <w:jc w:val="center"/>
              <w:rPr>
                <w:rFonts w:ascii="Arial" w:hAnsi="Arial" w:cs="Arial"/>
                <w:b/>
                <w:sz w:val="16"/>
                <w:szCs w:val="16"/>
              </w:rPr>
            </w:pPr>
            <w:r>
              <w:rPr>
                <w:rFonts w:ascii="Arial" w:hAnsi="Arial" w:cs="Arial"/>
                <w:b/>
                <w:sz w:val="16"/>
                <w:szCs w:val="16"/>
              </w:rPr>
              <w:t>630</w:t>
            </w:r>
          </w:p>
        </w:tc>
        <w:tc>
          <w:tcPr>
            <w:tcW w:w="601" w:type="dxa"/>
            <w:shd w:val="clear" w:color="auto" w:fill="C6D9F1" w:themeFill="text2" w:themeFillTint="33"/>
            <w:vAlign w:val="bottom"/>
          </w:tcPr>
          <w:p w:rsidR="00D3254A" w:rsidRPr="00D3254A" w:rsidRDefault="00472BE4" w:rsidP="00D3254A">
            <w:pPr>
              <w:spacing w:after="0" w:line="240" w:lineRule="auto"/>
              <w:jc w:val="center"/>
              <w:rPr>
                <w:rFonts w:ascii="Arial" w:hAnsi="Arial" w:cs="Arial"/>
                <w:b/>
                <w:sz w:val="16"/>
                <w:szCs w:val="16"/>
              </w:rPr>
            </w:pPr>
            <w:r>
              <w:rPr>
                <w:rFonts w:ascii="Arial" w:hAnsi="Arial" w:cs="Arial"/>
                <w:b/>
                <w:sz w:val="16"/>
                <w:szCs w:val="16"/>
              </w:rPr>
              <w:t>110</w:t>
            </w:r>
          </w:p>
        </w:tc>
        <w:tc>
          <w:tcPr>
            <w:tcW w:w="601" w:type="dxa"/>
            <w:shd w:val="clear" w:color="auto" w:fill="C6D9F1" w:themeFill="text2" w:themeFillTint="33"/>
            <w:vAlign w:val="bottom"/>
          </w:tcPr>
          <w:p w:rsidR="00D3254A" w:rsidRPr="00D3254A" w:rsidRDefault="00472BE4" w:rsidP="00D3254A">
            <w:pPr>
              <w:spacing w:after="0" w:line="240" w:lineRule="auto"/>
              <w:jc w:val="center"/>
              <w:rPr>
                <w:rFonts w:ascii="Arial" w:hAnsi="Arial" w:cs="Arial"/>
                <w:b/>
                <w:sz w:val="16"/>
                <w:szCs w:val="16"/>
              </w:rPr>
            </w:pPr>
            <w:r>
              <w:rPr>
                <w:rFonts w:ascii="Arial" w:hAnsi="Arial" w:cs="Arial"/>
                <w:b/>
                <w:sz w:val="16"/>
                <w:szCs w:val="16"/>
              </w:rPr>
              <w:t>17%</w:t>
            </w:r>
          </w:p>
        </w:tc>
        <w:tc>
          <w:tcPr>
            <w:tcW w:w="601" w:type="dxa"/>
            <w:shd w:val="clear" w:color="auto" w:fill="C6D9F1" w:themeFill="text2" w:themeFillTint="33"/>
            <w:vAlign w:val="bottom"/>
          </w:tcPr>
          <w:p w:rsidR="00D3254A" w:rsidRPr="00D3254A" w:rsidRDefault="00472BE4" w:rsidP="00D3254A">
            <w:pPr>
              <w:spacing w:after="0" w:line="240" w:lineRule="auto"/>
              <w:jc w:val="center"/>
              <w:rPr>
                <w:rFonts w:ascii="Arial" w:hAnsi="Arial" w:cs="Arial"/>
                <w:b/>
                <w:sz w:val="16"/>
                <w:szCs w:val="16"/>
              </w:rPr>
            </w:pPr>
            <w:r>
              <w:rPr>
                <w:rFonts w:ascii="Arial" w:hAnsi="Arial" w:cs="Arial"/>
                <w:b/>
                <w:sz w:val="16"/>
                <w:szCs w:val="16"/>
              </w:rPr>
              <w:t>181</w:t>
            </w:r>
          </w:p>
        </w:tc>
        <w:tc>
          <w:tcPr>
            <w:tcW w:w="601" w:type="dxa"/>
            <w:shd w:val="clear" w:color="auto" w:fill="C6D9F1" w:themeFill="text2" w:themeFillTint="33"/>
            <w:vAlign w:val="bottom"/>
          </w:tcPr>
          <w:p w:rsidR="00D3254A" w:rsidRPr="00D3254A" w:rsidRDefault="00472BE4" w:rsidP="00D3254A">
            <w:pPr>
              <w:spacing w:after="0" w:line="240" w:lineRule="auto"/>
              <w:jc w:val="center"/>
              <w:rPr>
                <w:rFonts w:ascii="Arial" w:hAnsi="Arial" w:cs="Arial"/>
                <w:b/>
                <w:sz w:val="16"/>
                <w:szCs w:val="16"/>
              </w:rPr>
            </w:pPr>
            <w:r>
              <w:rPr>
                <w:rFonts w:ascii="Arial" w:hAnsi="Arial" w:cs="Arial"/>
                <w:b/>
                <w:sz w:val="16"/>
                <w:szCs w:val="16"/>
              </w:rPr>
              <w:t>30</w:t>
            </w:r>
          </w:p>
        </w:tc>
        <w:tc>
          <w:tcPr>
            <w:tcW w:w="601" w:type="dxa"/>
            <w:shd w:val="clear" w:color="auto" w:fill="8DB3E2" w:themeFill="text2" w:themeFillTint="66"/>
            <w:vAlign w:val="bottom"/>
          </w:tcPr>
          <w:p w:rsidR="00D3254A" w:rsidRPr="00D3254A" w:rsidRDefault="00D3254A" w:rsidP="00D3254A">
            <w:pPr>
              <w:spacing w:after="0" w:line="240" w:lineRule="auto"/>
              <w:jc w:val="center"/>
              <w:rPr>
                <w:rFonts w:ascii="Arial" w:hAnsi="Arial" w:cs="Arial"/>
                <w:b/>
                <w:sz w:val="16"/>
                <w:szCs w:val="16"/>
              </w:rPr>
            </w:pPr>
            <w:r w:rsidRPr="00D3254A">
              <w:rPr>
                <w:rFonts w:ascii="Arial" w:hAnsi="Arial" w:cs="Arial"/>
                <w:b/>
                <w:sz w:val="16"/>
                <w:szCs w:val="16"/>
              </w:rPr>
              <w:t>746</w:t>
            </w:r>
          </w:p>
        </w:tc>
        <w:tc>
          <w:tcPr>
            <w:tcW w:w="600" w:type="dxa"/>
            <w:shd w:val="clear" w:color="auto" w:fill="8DB3E2" w:themeFill="text2" w:themeFillTint="66"/>
            <w:vAlign w:val="bottom"/>
          </w:tcPr>
          <w:p w:rsidR="00D3254A" w:rsidRPr="00D3254A" w:rsidRDefault="00D3254A" w:rsidP="00D3254A">
            <w:pPr>
              <w:spacing w:after="0" w:line="240" w:lineRule="auto"/>
              <w:jc w:val="center"/>
              <w:rPr>
                <w:rFonts w:ascii="Arial" w:hAnsi="Arial" w:cs="Arial"/>
                <w:b/>
                <w:sz w:val="16"/>
                <w:szCs w:val="16"/>
              </w:rPr>
            </w:pPr>
            <w:r w:rsidRPr="00D3254A">
              <w:rPr>
                <w:rFonts w:ascii="Arial" w:hAnsi="Arial" w:cs="Arial"/>
                <w:b/>
                <w:sz w:val="16"/>
                <w:szCs w:val="16"/>
              </w:rPr>
              <w:t>144</w:t>
            </w:r>
          </w:p>
        </w:tc>
        <w:tc>
          <w:tcPr>
            <w:tcW w:w="600" w:type="dxa"/>
            <w:shd w:val="clear" w:color="auto" w:fill="8DB3E2" w:themeFill="text2" w:themeFillTint="66"/>
            <w:vAlign w:val="bottom"/>
          </w:tcPr>
          <w:p w:rsidR="00D3254A" w:rsidRPr="00D3254A" w:rsidRDefault="00D3254A" w:rsidP="00D3254A">
            <w:pPr>
              <w:spacing w:after="0" w:line="240" w:lineRule="auto"/>
              <w:jc w:val="center"/>
              <w:rPr>
                <w:rFonts w:ascii="Arial" w:hAnsi="Arial" w:cs="Arial"/>
                <w:b/>
                <w:sz w:val="16"/>
                <w:szCs w:val="16"/>
              </w:rPr>
            </w:pPr>
            <w:r w:rsidRPr="00D3254A">
              <w:rPr>
                <w:rFonts w:ascii="Arial" w:hAnsi="Arial" w:cs="Arial"/>
                <w:b/>
                <w:sz w:val="16"/>
                <w:szCs w:val="16"/>
              </w:rPr>
              <w:t>19%</w:t>
            </w:r>
          </w:p>
        </w:tc>
        <w:tc>
          <w:tcPr>
            <w:tcW w:w="600" w:type="dxa"/>
            <w:shd w:val="clear" w:color="auto" w:fill="8DB3E2" w:themeFill="text2" w:themeFillTint="66"/>
            <w:vAlign w:val="bottom"/>
          </w:tcPr>
          <w:p w:rsidR="00D3254A" w:rsidRPr="00D3254A" w:rsidRDefault="00D3254A" w:rsidP="00D3254A">
            <w:pPr>
              <w:spacing w:after="0" w:line="240" w:lineRule="auto"/>
              <w:jc w:val="center"/>
              <w:rPr>
                <w:rFonts w:ascii="Arial" w:hAnsi="Arial" w:cs="Arial"/>
                <w:b/>
                <w:sz w:val="16"/>
                <w:szCs w:val="16"/>
              </w:rPr>
            </w:pPr>
            <w:r w:rsidRPr="00D3254A">
              <w:rPr>
                <w:rFonts w:ascii="Arial" w:hAnsi="Arial" w:cs="Arial"/>
                <w:b/>
                <w:sz w:val="16"/>
                <w:szCs w:val="16"/>
              </w:rPr>
              <w:t>304</w:t>
            </w:r>
          </w:p>
        </w:tc>
        <w:tc>
          <w:tcPr>
            <w:tcW w:w="600" w:type="dxa"/>
            <w:shd w:val="clear" w:color="auto" w:fill="8DB3E2" w:themeFill="text2" w:themeFillTint="66"/>
            <w:vAlign w:val="bottom"/>
          </w:tcPr>
          <w:p w:rsidR="00D3254A" w:rsidRPr="00D3254A" w:rsidRDefault="00D3254A" w:rsidP="00D3254A">
            <w:pPr>
              <w:spacing w:after="0" w:line="240" w:lineRule="auto"/>
              <w:jc w:val="center"/>
              <w:rPr>
                <w:rFonts w:ascii="Arial" w:hAnsi="Arial" w:cs="Arial"/>
                <w:b/>
                <w:sz w:val="16"/>
                <w:szCs w:val="16"/>
              </w:rPr>
            </w:pPr>
            <w:r w:rsidRPr="00D3254A">
              <w:rPr>
                <w:rFonts w:ascii="Arial" w:hAnsi="Arial" w:cs="Arial"/>
                <w:b/>
                <w:sz w:val="16"/>
                <w:szCs w:val="16"/>
              </w:rPr>
              <w:t>49</w:t>
            </w:r>
          </w:p>
        </w:tc>
        <w:tc>
          <w:tcPr>
            <w:tcW w:w="600" w:type="dxa"/>
            <w:shd w:val="clear" w:color="auto" w:fill="548DD4" w:themeFill="text2" w:themeFillTint="99"/>
            <w:vAlign w:val="bottom"/>
          </w:tcPr>
          <w:p w:rsidR="00D3254A" w:rsidRPr="00D3254A" w:rsidRDefault="00472BE4" w:rsidP="00D3254A">
            <w:pPr>
              <w:spacing w:after="0" w:line="240" w:lineRule="auto"/>
              <w:jc w:val="center"/>
              <w:rPr>
                <w:rFonts w:ascii="Arial" w:hAnsi="Arial" w:cs="Arial"/>
                <w:b/>
                <w:sz w:val="16"/>
                <w:szCs w:val="16"/>
              </w:rPr>
            </w:pPr>
            <w:r>
              <w:rPr>
                <w:rFonts w:ascii="Arial" w:hAnsi="Arial" w:cs="Arial"/>
                <w:b/>
                <w:sz w:val="16"/>
                <w:szCs w:val="16"/>
              </w:rPr>
              <w:t>442</w:t>
            </w:r>
          </w:p>
        </w:tc>
        <w:tc>
          <w:tcPr>
            <w:tcW w:w="600" w:type="dxa"/>
            <w:shd w:val="clear" w:color="auto" w:fill="548DD4" w:themeFill="text2" w:themeFillTint="99"/>
            <w:vAlign w:val="bottom"/>
          </w:tcPr>
          <w:p w:rsidR="00D3254A" w:rsidRPr="00D3254A" w:rsidRDefault="00472BE4" w:rsidP="00D3254A">
            <w:pPr>
              <w:spacing w:after="0" w:line="240" w:lineRule="auto"/>
              <w:jc w:val="center"/>
              <w:rPr>
                <w:rFonts w:ascii="Arial" w:hAnsi="Arial" w:cs="Arial"/>
                <w:b/>
                <w:sz w:val="16"/>
                <w:szCs w:val="16"/>
              </w:rPr>
            </w:pPr>
            <w:r>
              <w:rPr>
                <w:rFonts w:ascii="Arial" w:hAnsi="Arial" w:cs="Arial"/>
                <w:b/>
                <w:sz w:val="16"/>
                <w:szCs w:val="16"/>
              </w:rPr>
              <w:t>95</w:t>
            </w:r>
          </w:p>
        </w:tc>
        <w:tc>
          <w:tcPr>
            <w:tcW w:w="600" w:type="dxa"/>
            <w:shd w:val="clear" w:color="auto" w:fill="548DD4" w:themeFill="text2" w:themeFillTint="99"/>
            <w:vAlign w:val="bottom"/>
          </w:tcPr>
          <w:p w:rsidR="00D3254A" w:rsidRPr="00D3254A" w:rsidRDefault="00472BE4" w:rsidP="00D3254A">
            <w:pPr>
              <w:spacing w:after="0" w:line="240" w:lineRule="auto"/>
              <w:jc w:val="center"/>
              <w:rPr>
                <w:rFonts w:ascii="Arial" w:hAnsi="Arial" w:cs="Arial"/>
                <w:b/>
                <w:sz w:val="16"/>
                <w:szCs w:val="16"/>
              </w:rPr>
            </w:pPr>
            <w:r>
              <w:rPr>
                <w:rFonts w:ascii="Arial" w:hAnsi="Arial" w:cs="Arial"/>
                <w:b/>
                <w:sz w:val="16"/>
                <w:szCs w:val="16"/>
              </w:rPr>
              <w:t>21%</w:t>
            </w:r>
          </w:p>
        </w:tc>
        <w:tc>
          <w:tcPr>
            <w:tcW w:w="600" w:type="dxa"/>
            <w:shd w:val="clear" w:color="auto" w:fill="548DD4" w:themeFill="text2" w:themeFillTint="99"/>
            <w:vAlign w:val="bottom"/>
          </w:tcPr>
          <w:p w:rsidR="00D3254A" w:rsidRPr="00D3254A" w:rsidRDefault="00472BE4" w:rsidP="00D3254A">
            <w:pPr>
              <w:spacing w:after="0" w:line="240" w:lineRule="auto"/>
              <w:jc w:val="center"/>
              <w:rPr>
                <w:rFonts w:ascii="Arial" w:hAnsi="Arial" w:cs="Arial"/>
                <w:b/>
                <w:sz w:val="16"/>
                <w:szCs w:val="16"/>
              </w:rPr>
            </w:pPr>
            <w:r>
              <w:rPr>
                <w:rFonts w:ascii="Arial" w:hAnsi="Arial" w:cs="Arial"/>
                <w:b/>
                <w:sz w:val="16"/>
                <w:szCs w:val="16"/>
              </w:rPr>
              <w:t>86</w:t>
            </w:r>
          </w:p>
        </w:tc>
        <w:tc>
          <w:tcPr>
            <w:tcW w:w="600" w:type="dxa"/>
            <w:shd w:val="clear" w:color="auto" w:fill="548DD4" w:themeFill="text2" w:themeFillTint="99"/>
            <w:vAlign w:val="bottom"/>
          </w:tcPr>
          <w:p w:rsidR="00D3254A" w:rsidRPr="00D3254A" w:rsidRDefault="00472BE4" w:rsidP="00D3254A">
            <w:pPr>
              <w:spacing w:after="0" w:line="240" w:lineRule="auto"/>
              <w:jc w:val="center"/>
              <w:rPr>
                <w:rFonts w:ascii="Arial" w:hAnsi="Arial" w:cs="Arial"/>
                <w:b/>
                <w:sz w:val="16"/>
                <w:szCs w:val="16"/>
              </w:rPr>
            </w:pPr>
            <w:r>
              <w:rPr>
                <w:rFonts w:ascii="Arial" w:hAnsi="Arial" w:cs="Arial"/>
                <w:b/>
                <w:sz w:val="16"/>
                <w:szCs w:val="16"/>
              </w:rPr>
              <w:t>32</w:t>
            </w:r>
          </w:p>
        </w:tc>
      </w:tr>
    </w:tbl>
    <w:p w:rsidR="00176B7F" w:rsidRPr="00176B7F" w:rsidRDefault="00176B7F" w:rsidP="00DA5CC5">
      <w:pPr>
        <w:spacing w:after="0" w:line="240" w:lineRule="auto"/>
      </w:pPr>
    </w:p>
    <w:p w:rsidR="00AB799D" w:rsidRPr="00DA5CC5" w:rsidRDefault="00C75B6B" w:rsidP="00DA5CC5">
      <w:pPr>
        <w:spacing w:after="0" w:line="240" w:lineRule="auto"/>
        <w:rPr>
          <w:b/>
          <w:sz w:val="20"/>
        </w:rPr>
      </w:pPr>
      <w:r>
        <w:rPr>
          <w:b/>
          <w:sz w:val="20"/>
        </w:rPr>
        <w:t xml:space="preserve">S </w:t>
      </w:r>
      <w:r w:rsidR="00DA5CC5" w:rsidRPr="00DA5CC5">
        <w:rPr>
          <w:b/>
          <w:sz w:val="20"/>
        </w:rPr>
        <w:t>= Søknader</w:t>
      </w:r>
    </w:p>
    <w:p w:rsidR="00DA5CC5" w:rsidRPr="00DA5CC5" w:rsidRDefault="00DA5CC5" w:rsidP="00DA5CC5">
      <w:pPr>
        <w:spacing w:after="0" w:line="240" w:lineRule="auto"/>
        <w:rPr>
          <w:b/>
          <w:sz w:val="20"/>
        </w:rPr>
      </w:pPr>
      <w:r w:rsidRPr="00DA5CC5">
        <w:rPr>
          <w:b/>
          <w:sz w:val="20"/>
        </w:rPr>
        <w:t>P</w:t>
      </w:r>
      <w:r w:rsidR="00C75B6B">
        <w:rPr>
          <w:b/>
          <w:sz w:val="20"/>
        </w:rPr>
        <w:t xml:space="preserve"> </w:t>
      </w:r>
      <w:r w:rsidRPr="00DA5CC5">
        <w:rPr>
          <w:b/>
          <w:sz w:val="20"/>
        </w:rPr>
        <w:t>= Prosjekter</w:t>
      </w:r>
    </w:p>
    <w:p w:rsidR="00DA5CC5" w:rsidRPr="00DA5CC5" w:rsidRDefault="00DA5CC5" w:rsidP="00DA5CC5">
      <w:pPr>
        <w:spacing w:after="0" w:line="240" w:lineRule="auto"/>
        <w:rPr>
          <w:b/>
          <w:sz w:val="20"/>
        </w:rPr>
      </w:pPr>
      <w:r w:rsidRPr="00DA5CC5">
        <w:rPr>
          <w:b/>
          <w:sz w:val="20"/>
        </w:rPr>
        <w:t>T</w:t>
      </w:r>
      <w:r w:rsidR="00C75B6B">
        <w:rPr>
          <w:b/>
          <w:sz w:val="20"/>
        </w:rPr>
        <w:t xml:space="preserve"> </w:t>
      </w:r>
      <w:r w:rsidRPr="00DA5CC5">
        <w:rPr>
          <w:b/>
          <w:sz w:val="20"/>
        </w:rPr>
        <w:t>= Tilslagsprosent</w:t>
      </w:r>
    </w:p>
    <w:p w:rsidR="00DA5CC5" w:rsidRPr="00DA5CC5" w:rsidRDefault="00DA5CC5" w:rsidP="00DA5CC5">
      <w:pPr>
        <w:spacing w:after="0" w:line="240" w:lineRule="auto"/>
        <w:rPr>
          <w:b/>
          <w:sz w:val="20"/>
        </w:rPr>
      </w:pPr>
      <w:r w:rsidRPr="00DA5CC5">
        <w:rPr>
          <w:b/>
          <w:sz w:val="20"/>
        </w:rPr>
        <w:t>KS</w:t>
      </w:r>
      <w:r w:rsidR="00C75B6B">
        <w:rPr>
          <w:b/>
          <w:sz w:val="20"/>
        </w:rPr>
        <w:t xml:space="preserve"> </w:t>
      </w:r>
      <w:r w:rsidRPr="00DA5CC5">
        <w:rPr>
          <w:b/>
          <w:sz w:val="20"/>
        </w:rPr>
        <w:t>= Koordinerte søknader</w:t>
      </w:r>
    </w:p>
    <w:p w:rsidR="00DA5CC5" w:rsidRDefault="00CE769C" w:rsidP="00DA5CC5">
      <w:pPr>
        <w:spacing w:after="0" w:line="240" w:lineRule="auto"/>
        <w:rPr>
          <w:b/>
          <w:sz w:val="20"/>
        </w:rPr>
      </w:pPr>
      <w:r>
        <w:rPr>
          <w:b/>
          <w:sz w:val="20"/>
        </w:rPr>
        <w:t>KP = Koordinerte pro</w:t>
      </w:r>
      <w:r w:rsidR="00DA5CC5" w:rsidRPr="00DA5CC5">
        <w:rPr>
          <w:b/>
          <w:sz w:val="20"/>
        </w:rPr>
        <w:t>sjekter</w:t>
      </w:r>
    </w:p>
    <w:p w:rsidR="00CE769C" w:rsidRDefault="00CE769C" w:rsidP="00CE769C">
      <w:pPr>
        <w:spacing w:after="0" w:line="240" w:lineRule="auto"/>
        <w:rPr>
          <w:b/>
          <w:sz w:val="20"/>
        </w:rPr>
      </w:pPr>
      <w:r>
        <w:rPr>
          <w:b/>
          <w:sz w:val="20"/>
        </w:rPr>
        <w:t>Tabell 7</w:t>
      </w:r>
      <w:r w:rsidRPr="00093B89">
        <w:rPr>
          <w:b/>
          <w:sz w:val="20"/>
        </w:rPr>
        <w:t xml:space="preserve">: </w:t>
      </w:r>
      <w:r>
        <w:rPr>
          <w:b/>
          <w:sz w:val="20"/>
        </w:rPr>
        <w:t xml:space="preserve">De 50 største universitetene i FP7 </w:t>
      </w:r>
    </w:p>
    <w:p w:rsidR="00CE769C" w:rsidRPr="00DA5CC5" w:rsidRDefault="00CE769C" w:rsidP="00DA5CC5">
      <w:pPr>
        <w:spacing w:after="0" w:line="240" w:lineRule="auto"/>
        <w:rPr>
          <w:b/>
          <w:sz w:val="20"/>
        </w:rPr>
      </w:pPr>
    </w:p>
    <w:p w:rsidR="00DA5CC5" w:rsidRPr="00DA5CC5" w:rsidRDefault="00CE769C" w:rsidP="00DA5CC5">
      <w:pPr>
        <w:spacing w:after="0" w:line="240" w:lineRule="auto"/>
      </w:pPr>
      <w:r>
        <w:rPr>
          <w:b/>
          <w:noProof/>
          <w:sz w:val="20"/>
          <w:lang w:eastAsia="nb-NO"/>
        </w:rPr>
        <w:lastRenderedPageBreak/>
        <w:drawing>
          <wp:inline distT="0" distB="0" distL="0" distR="0" wp14:anchorId="4F3679F3" wp14:editId="77F1312C">
            <wp:extent cx="5760720" cy="7124065"/>
            <wp:effectExtent l="0" t="0" r="0" b="63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124065"/>
                    </a:xfrm>
                    <a:prstGeom prst="rect">
                      <a:avLst/>
                    </a:prstGeom>
                    <a:noFill/>
                    <a:ln>
                      <a:noFill/>
                    </a:ln>
                  </pic:spPr>
                </pic:pic>
              </a:graphicData>
            </a:graphic>
          </wp:inline>
        </w:drawing>
      </w:r>
    </w:p>
    <w:sectPr w:rsidR="00DA5CC5" w:rsidRPr="00DA5CC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60" w:rsidRDefault="004D6560" w:rsidP="00C55CD9">
      <w:pPr>
        <w:spacing w:after="0" w:line="240" w:lineRule="auto"/>
      </w:pPr>
      <w:r>
        <w:separator/>
      </w:r>
    </w:p>
  </w:endnote>
  <w:endnote w:type="continuationSeparator" w:id="0">
    <w:p w:rsidR="004D6560" w:rsidRDefault="004D6560" w:rsidP="00C5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29691"/>
      <w:docPartObj>
        <w:docPartGallery w:val="Page Numbers (Bottom of Page)"/>
        <w:docPartUnique/>
      </w:docPartObj>
    </w:sdtPr>
    <w:sdtEndPr/>
    <w:sdtContent>
      <w:p w:rsidR="00CE769C" w:rsidRDefault="00CE769C">
        <w:pPr>
          <w:pStyle w:val="Bunntekst"/>
          <w:jc w:val="center"/>
        </w:pPr>
        <w:r>
          <w:fldChar w:fldCharType="begin"/>
        </w:r>
        <w:r>
          <w:instrText>PAGE   \* MERGEFORMAT</w:instrText>
        </w:r>
        <w:r>
          <w:fldChar w:fldCharType="separate"/>
        </w:r>
        <w:r w:rsidR="00686DB4">
          <w:rPr>
            <w:noProof/>
          </w:rPr>
          <w:t>5</w:t>
        </w:r>
        <w:r>
          <w:fldChar w:fldCharType="end"/>
        </w:r>
      </w:p>
    </w:sdtContent>
  </w:sdt>
  <w:p w:rsidR="00CE769C" w:rsidRDefault="00CE769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60" w:rsidRDefault="004D6560" w:rsidP="00C55CD9">
      <w:pPr>
        <w:spacing w:after="0" w:line="240" w:lineRule="auto"/>
      </w:pPr>
      <w:r>
        <w:separator/>
      </w:r>
    </w:p>
  </w:footnote>
  <w:footnote w:type="continuationSeparator" w:id="0">
    <w:p w:rsidR="004D6560" w:rsidRDefault="004D6560" w:rsidP="00C55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F3"/>
    <w:rsid w:val="00052F28"/>
    <w:rsid w:val="00076A53"/>
    <w:rsid w:val="00105463"/>
    <w:rsid w:val="0014707C"/>
    <w:rsid w:val="00176B7F"/>
    <w:rsid w:val="001C7BF3"/>
    <w:rsid w:val="00261FFB"/>
    <w:rsid w:val="00270B72"/>
    <w:rsid w:val="002D6841"/>
    <w:rsid w:val="002E1285"/>
    <w:rsid w:val="002F3167"/>
    <w:rsid w:val="00340D28"/>
    <w:rsid w:val="003D5029"/>
    <w:rsid w:val="00436C8C"/>
    <w:rsid w:val="00451148"/>
    <w:rsid w:val="00472BE4"/>
    <w:rsid w:val="004D13AD"/>
    <w:rsid w:val="004D6560"/>
    <w:rsid w:val="004E3017"/>
    <w:rsid w:val="00575D92"/>
    <w:rsid w:val="00577FB6"/>
    <w:rsid w:val="00686DB4"/>
    <w:rsid w:val="006A1053"/>
    <w:rsid w:val="007E2B3C"/>
    <w:rsid w:val="00980AB5"/>
    <w:rsid w:val="009B345F"/>
    <w:rsid w:val="009D5A01"/>
    <w:rsid w:val="00A01D02"/>
    <w:rsid w:val="00AB799D"/>
    <w:rsid w:val="00AF7848"/>
    <w:rsid w:val="00B376D4"/>
    <w:rsid w:val="00B76404"/>
    <w:rsid w:val="00BA3D5A"/>
    <w:rsid w:val="00C55CD9"/>
    <w:rsid w:val="00C57802"/>
    <w:rsid w:val="00C75B6B"/>
    <w:rsid w:val="00CE769C"/>
    <w:rsid w:val="00CE7F74"/>
    <w:rsid w:val="00CF47F4"/>
    <w:rsid w:val="00D11992"/>
    <w:rsid w:val="00D3254A"/>
    <w:rsid w:val="00D67A85"/>
    <w:rsid w:val="00DA5CC5"/>
    <w:rsid w:val="00E43DC1"/>
    <w:rsid w:val="00E47854"/>
    <w:rsid w:val="00EC6D50"/>
    <w:rsid w:val="00ED190C"/>
    <w:rsid w:val="00EE1417"/>
    <w:rsid w:val="00F5540E"/>
    <w:rsid w:val="00FA0370"/>
    <w:rsid w:val="00FD5C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C7B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7BF3"/>
    <w:rPr>
      <w:rFonts w:ascii="Tahoma" w:hAnsi="Tahoma" w:cs="Tahoma"/>
      <w:sz w:val="16"/>
      <w:szCs w:val="16"/>
    </w:rPr>
  </w:style>
  <w:style w:type="table" w:styleId="Tabellrutenett">
    <w:name w:val="Table Grid"/>
    <w:basedOn w:val="Vanligtabell"/>
    <w:uiPriority w:val="59"/>
    <w:rsid w:val="00B37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C55C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5CD9"/>
  </w:style>
  <w:style w:type="paragraph" w:styleId="Bunntekst">
    <w:name w:val="footer"/>
    <w:basedOn w:val="Normal"/>
    <w:link w:val="BunntekstTegn"/>
    <w:uiPriority w:val="99"/>
    <w:unhideWhenUsed/>
    <w:rsid w:val="00C55C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C7B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7BF3"/>
    <w:rPr>
      <w:rFonts w:ascii="Tahoma" w:hAnsi="Tahoma" w:cs="Tahoma"/>
      <w:sz w:val="16"/>
      <w:szCs w:val="16"/>
    </w:rPr>
  </w:style>
  <w:style w:type="table" w:styleId="Tabellrutenett">
    <w:name w:val="Table Grid"/>
    <w:basedOn w:val="Vanligtabell"/>
    <w:uiPriority w:val="59"/>
    <w:rsid w:val="00B37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C55C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5CD9"/>
  </w:style>
  <w:style w:type="paragraph" w:styleId="Bunntekst">
    <w:name w:val="footer"/>
    <w:basedOn w:val="Normal"/>
    <w:link w:val="BunntekstTegn"/>
    <w:uiPriority w:val="99"/>
    <w:unhideWhenUsed/>
    <w:rsid w:val="00C55C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623">
      <w:bodyDiv w:val="1"/>
      <w:marLeft w:val="0"/>
      <w:marRight w:val="0"/>
      <w:marTop w:val="0"/>
      <w:marBottom w:val="0"/>
      <w:divBdr>
        <w:top w:val="none" w:sz="0" w:space="0" w:color="auto"/>
        <w:left w:val="none" w:sz="0" w:space="0" w:color="auto"/>
        <w:bottom w:val="none" w:sz="0" w:space="0" w:color="auto"/>
        <w:right w:val="none" w:sz="0" w:space="0" w:color="auto"/>
      </w:divBdr>
    </w:div>
    <w:div w:id="496848440">
      <w:bodyDiv w:val="1"/>
      <w:marLeft w:val="0"/>
      <w:marRight w:val="0"/>
      <w:marTop w:val="0"/>
      <w:marBottom w:val="0"/>
      <w:divBdr>
        <w:top w:val="none" w:sz="0" w:space="0" w:color="auto"/>
        <w:left w:val="none" w:sz="0" w:space="0" w:color="auto"/>
        <w:bottom w:val="none" w:sz="0" w:space="0" w:color="auto"/>
        <w:right w:val="none" w:sz="0" w:space="0" w:color="auto"/>
      </w:divBdr>
    </w:div>
    <w:div w:id="1000158236">
      <w:bodyDiv w:val="1"/>
      <w:marLeft w:val="0"/>
      <w:marRight w:val="0"/>
      <w:marTop w:val="0"/>
      <w:marBottom w:val="0"/>
      <w:divBdr>
        <w:top w:val="none" w:sz="0" w:space="0" w:color="auto"/>
        <w:left w:val="none" w:sz="0" w:space="0" w:color="auto"/>
        <w:bottom w:val="none" w:sz="0" w:space="0" w:color="auto"/>
        <w:right w:val="none" w:sz="0" w:space="0" w:color="auto"/>
      </w:divBdr>
    </w:div>
    <w:div w:id="1714960243">
      <w:bodyDiv w:val="1"/>
      <w:marLeft w:val="0"/>
      <w:marRight w:val="0"/>
      <w:marTop w:val="0"/>
      <w:marBottom w:val="0"/>
      <w:divBdr>
        <w:top w:val="none" w:sz="0" w:space="0" w:color="auto"/>
        <w:left w:val="none" w:sz="0" w:space="0" w:color="auto"/>
        <w:bottom w:val="none" w:sz="0" w:space="0" w:color="auto"/>
        <w:right w:val="none" w:sz="0" w:space="0" w:color="auto"/>
      </w:divBdr>
    </w:div>
    <w:div w:id="20013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nasin\AppData\Local\Microsoft\Windows\Temporary%20Internet%20Files\Content.Outlook\LTB3JPVE\NTNU_FP7-resultater_Analyser_Aug-2013_v2%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nasin\AppData\Local\Microsoft\Windows\Temporary%20Internet%20Files\Content.Outlook\LTB3JPVE\NTNU_FP7-resultater_Analyser_Aug-2013_v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inasin\AppData\Local\Microsoft\Windows\Temporary%20Internet%20Files\Content.Outlook\LTB3JPVE\NTNU_FP7-resultater_Analyser_Aug-2013_v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inasin\AppData\Local\Microsoft\Windows\Temporary%20Internet%20Files\Content.Outlook\LTB3JPVE\NTNU_FP7-resultater_Analyser_Aug-2013_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1"/>
          <a:lstStyle/>
          <a:p>
            <a:pPr>
              <a:defRPr sz="1600"/>
            </a:pPr>
            <a:r>
              <a:rPr lang="nb-NO" sz="1600"/>
              <a:t>Finansiering nye </a:t>
            </a:r>
            <a:r>
              <a:rPr lang="nb-NO" sz="1600" b="1" i="0" u="none" strike="noStrike" baseline="0">
                <a:effectLst/>
              </a:rPr>
              <a:t>kontrakter </a:t>
            </a:r>
            <a:r>
              <a:rPr lang="nb-NO" sz="1600"/>
              <a:t>- pr. år og kumulativt, mill. NOK</a:t>
            </a:r>
          </a:p>
        </c:rich>
      </c:tx>
      <c:layout>
        <c:manualLayout>
          <c:xMode val="edge"/>
          <c:yMode val="edge"/>
          <c:x val="8.6780067385193865E-2"/>
          <c:y val="1.7252002464571779E-2"/>
        </c:manualLayout>
      </c:layout>
      <c:overlay val="0"/>
    </c:title>
    <c:autoTitleDeleted val="0"/>
    <c:plotArea>
      <c:layout/>
      <c:lineChart>
        <c:grouping val="standard"/>
        <c:varyColors val="0"/>
        <c:ser>
          <c:idx val="1"/>
          <c:order val="0"/>
          <c:tx>
            <c:strRef>
              <c:f>'[NTNU_FP7-resultater_Analyser_Aug-2013_v2 (2).xlsx]Tilgang pr.år'!$B$66</c:f>
              <c:strCache>
                <c:ptCount val="1"/>
                <c:pt idx="0">
                  <c:v>Kontraktsbeløp pr. år, mill.NOK</c:v>
                </c:pt>
              </c:strCache>
            </c:strRef>
          </c:tx>
          <c:marker>
            <c:symbol val="diamond"/>
            <c:size val="7"/>
          </c:marker>
          <c:dLbls>
            <c:txPr>
              <a:bodyPr/>
              <a:lstStyle/>
              <a:p>
                <a:pPr>
                  <a:defRPr b="0"/>
                </a:pPr>
                <a:endParaRPr lang="nb-NO"/>
              </a:p>
            </c:txPr>
            <c:dLblPos val="b"/>
            <c:showLegendKey val="0"/>
            <c:showVal val="1"/>
            <c:showCatName val="0"/>
            <c:showSerName val="0"/>
            <c:showPercent val="0"/>
            <c:showBubbleSize val="0"/>
            <c:showLeaderLines val="0"/>
          </c:dLbls>
          <c:cat>
            <c:numRef>
              <c:f>'[NTNU_FP7-resultater_Analyser_Aug-2013_v2 (2).xlsx]Tilgang pr.år'!$C$65:$I$65</c:f>
              <c:numCache>
                <c:formatCode>@</c:formatCode>
                <c:ptCount val="7"/>
                <c:pt idx="0">
                  <c:v>2007</c:v>
                </c:pt>
                <c:pt idx="1">
                  <c:v>2008</c:v>
                </c:pt>
                <c:pt idx="2">
                  <c:v>2009</c:v>
                </c:pt>
                <c:pt idx="3">
                  <c:v>2010</c:v>
                </c:pt>
                <c:pt idx="4">
                  <c:v>2011</c:v>
                </c:pt>
                <c:pt idx="5">
                  <c:v>2012</c:v>
                </c:pt>
                <c:pt idx="6">
                  <c:v>2013</c:v>
                </c:pt>
              </c:numCache>
            </c:numRef>
          </c:cat>
          <c:val>
            <c:numRef>
              <c:f>'[NTNU_FP7-resultater_Analyser_Aug-2013_v2 (2).xlsx]Tilgang pr.år'!$C$66:$I$66</c:f>
              <c:numCache>
                <c:formatCode>#,##0.0_ ;[Red]\-#,##0.0\ </c:formatCode>
                <c:ptCount val="7"/>
                <c:pt idx="0">
                  <c:v>47.321360499999997</c:v>
                </c:pt>
                <c:pt idx="1">
                  <c:v>56.917836749999999</c:v>
                </c:pt>
                <c:pt idx="2">
                  <c:v>47.649156749999996</c:v>
                </c:pt>
                <c:pt idx="3">
                  <c:v>78.041461499999997</c:v>
                </c:pt>
                <c:pt idx="4">
                  <c:v>78.929750249999984</c:v>
                </c:pt>
                <c:pt idx="5">
                  <c:v>49.746845750000006</c:v>
                </c:pt>
                <c:pt idx="6">
                  <c:v>108.679542</c:v>
                </c:pt>
              </c:numCache>
            </c:numRef>
          </c:val>
          <c:smooth val="0"/>
        </c:ser>
        <c:ser>
          <c:idx val="2"/>
          <c:order val="1"/>
          <c:tx>
            <c:strRef>
              <c:f>'[NTNU_FP7-resultater_Analyser_Aug-2013_v2 (2).xlsx]Tilgang pr.år'!$B$67</c:f>
              <c:strCache>
                <c:ptCount val="1"/>
                <c:pt idx="0">
                  <c:v>Kumulativ kontraktstilgang, mill.NOK</c:v>
                </c:pt>
              </c:strCache>
            </c:strRef>
          </c:tx>
          <c:dLbls>
            <c:txPr>
              <a:bodyPr/>
              <a:lstStyle/>
              <a:p>
                <a:pPr>
                  <a:defRPr b="0"/>
                </a:pPr>
                <a:endParaRPr lang="nb-NO"/>
              </a:p>
            </c:txPr>
            <c:dLblPos val="t"/>
            <c:showLegendKey val="0"/>
            <c:showVal val="1"/>
            <c:showCatName val="0"/>
            <c:showSerName val="0"/>
            <c:showPercent val="0"/>
            <c:showBubbleSize val="0"/>
            <c:showLeaderLines val="0"/>
          </c:dLbls>
          <c:cat>
            <c:numRef>
              <c:f>'[NTNU_FP7-resultater_Analyser_Aug-2013_v2 (2).xlsx]Tilgang pr.år'!$C$65:$I$65</c:f>
              <c:numCache>
                <c:formatCode>@</c:formatCode>
                <c:ptCount val="7"/>
                <c:pt idx="0">
                  <c:v>2007</c:v>
                </c:pt>
                <c:pt idx="1">
                  <c:v>2008</c:v>
                </c:pt>
                <c:pt idx="2">
                  <c:v>2009</c:v>
                </c:pt>
                <c:pt idx="3">
                  <c:v>2010</c:v>
                </c:pt>
                <c:pt idx="4">
                  <c:v>2011</c:v>
                </c:pt>
                <c:pt idx="5">
                  <c:v>2012</c:v>
                </c:pt>
                <c:pt idx="6">
                  <c:v>2013</c:v>
                </c:pt>
              </c:numCache>
            </c:numRef>
          </c:cat>
          <c:val>
            <c:numRef>
              <c:f>'[NTNU_FP7-resultater_Analyser_Aug-2013_v2 (2).xlsx]Tilgang pr.år'!$C$67:$I$67</c:f>
              <c:numCache>
                <c:formatCode>#,##0.0_ ;[Red]\-#,##0.0\ </c:formatCode>
                <c:ptCount val="7"/>
                <c:pt idx="0">
                  <c:v>47.321360499999997</c:v>
                </c:pt>
                <c:pt idx="1">
                  <c:v>104.23919724999999</c:v>
                </c:pt>
                <c:pt idx="2">
                  <c:v>151.88835399999999</c:v>
                </c:pt>
                <c:pt idx="3">
                  <c:v>229.92981549999999</c:v>
                </c:pt>
                <c:pt idx="4">
                  <c:v>308.85956575</c:v>
                </c:pt>
                <c:pt idx="5">
                  <c:v>358.60641150000004</c:v>
                </c:pt>
                <c:pt idx="6">
                  <c:v>467.28595350000001</c:v>
                </c:pt>
              </c:numCache>
            </c:numRef>
          </c:val>
          <c:smooth val="0"/>
        </c:ser>
        <c:dLbls>
          <c:showLegendKey val="0"/>
          <c:showVal val="0"/>
          <c:showCatName val="0"/>
          <c:showSerName val="0"/>
          <c:showPercent val="0"/>
          <c:showBubbleSize val="0"/>
        </c:dLbls>
        <c:marker val="1"/>
        <c:smooth val="0"/>
        <c:axId val="107569152"/>
        <c:axId val="107570688"/>
      </c:lineChart>
      <c:catAx>
        <c:axId val="107569152"/>
        <c:scaling>
          <c:orientation val="minMax"/>
        </c:scaling>
        <c:delete val="0"/>
        <c:axPos val="b"/>
        <c:numFmt formatCode="0_ ;[Red]\-0\ " sourceLinked="0"/>
        <c:majorTickMark val="out"/>
        <c:minorTickMark val="none"/>
        <c:tickLblPos val="nextTo"/>
        <c:crossAx val="107570688"/>
        <c:crosses val="autoZero"/>
        <c:auto val="1"/>
        <c:lblAlgn val="ctr"/>
        <c:lblOffset val="100"/>
        <c:noMultiLvlLbl val="0"/>
      </c:catAx>
      <c:valAx>
        <c:axId val="107570688"/>
        <c:scaling>
          <c:orientation val="minMax"/>
        </c:scaling>
        <c:delete val="0"/>
        <c:axPos val="l"/>
        <c:majorGridlines/>
        <c:numFmt formatCode="#,##0_ ;[Red]\-#,##0\ " sourceLinked="0"/>
        <c:majorTickMark val="out"/>
        <c:minorTickMark val="none"/>
        <c:tickLblPos val="nextTo"/>
        <c:crossAx val="107569152"/>
        <c:crosses val="autoZero"/>
        <c:crossBetween val="between"/>
      </c:valAx>
    </c:plotArea>
    <c:legend>
      <c:legendPos val="r"/>
      <c:overlay val="0"/>
    </c:legend>
    <c:plotVisOnly val="1"/>
    <c:dispBlanksAs val="gap"/>
    <c:showDLblsOverMax val="0"/>
  </c:chart>
  <c:txPr>
    <a:bodyPr/>
    <a:lstStyle/>
    <a:p>
      <a:pPr>
        <a:defRPr b="1"/>
      </a:pPr>
      <a:endParaRPr lang="nb-N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Innvilgede prosjekter - pr. år og kumulativt</a:t>
            </a:r>
          </a:p>
        </c:rich>
      </c:tx>
      <c:overlay val="0"/>
    </c:title>
    <c:autoTitleDeleted val="0"/>
    <c:plotArea>
      <c:layout/>
      <c:lineChart>
        <c:grouping val="stacked"/>
        <c:varyColors val="0"/>
        <c:ser>
          <c:idx val="1"/>
          <c:order val="0"/>
          <c:tx>
            <c:v>Prosjekter pr. år</c:v>
          </c:tx>
          <c:dLbls>
            <c:txPr>
              <a:bodyPr/>
              <a:lstStyle/>
              <a:p>
                <a:pPr>
                  <a:defRPr b="1"/>
                </a:pPr>
                <a:endParaRPr lang="nb-NO"/>
              </a:p>
            </c:txPr>
            <c:dLblPos val="t"/>
            <c:showLegendKey val="0"/>
            <c:showVal val="1"/>
            <c:showCatName val="0"/>
            <c:showSerName val="0"/>
            <c:showPercent val="0"/>
            <c:showBubbleSize val="0"/>
            <c:showLeaderLines val="0"/>
          </c:dLbls>
          <c:cat>
            <c:strRef>
              <c:f>'Tilgang pr.år'!$C$43:$I$44</c:f>
              <c:strCache>
                <c:ptCount val="7"/>
                <c:pt idx="0">
                  <c:v>2007</c:v>
                </c:pt>
                <c:pt idx="1">
                  <c:v>2008</c:v>
                </c:pt>
                <c:pt idx="2">
                  <c:v>2009</c:v>
                </c:pt>
                <c:pt idx="3">
                  <c:v>2010</c:v>
                </c:pt>
                <c:pt idx="4">
                  <c:v>2011</c:v>
                </c:pt>
                <c:pt idx="5">
                  <c:v>2012</c:v>
                </c:pt>
                <c:pt idx="6">
                  <c:v>2013</c:v>
                </c:pt>
              </c:strCache>
            </c:strRef>
          </c:cat>
          <c:val>
            <c:numRef>
              <c:f>'Tilgang pr.år'!$C$45:$I$45</c:f>
              <c:numCache>
                <c:formatCode>#,##0_ ;[Red]\-#,##0\ </c:formatCode>
                <c:ptCount val="7"/>
                <c:pt idx="0">
                  <c:v>16</c:v>
                </c:pt>
                <c:pt idx="1">
                  <c:v>13</c:v>
                </c:pt>
                <c:pt idx="2">
                  <c:v>14</c:v>
                </c:pt>
                <c:pt idx="3">
                  <c:v>18</c:v>
                </c:pt>
                <c:pt idx="4">
                  <c:v>20</c:v>
                </c:pt>
                <c:pt idx="5">
                  <c:v>16</c:v>
                </c:pt>
                <c:pt idx="6">
                  <c:v>19</c:v>
                </c:pt>
              </c:numCache>
            </c:numRef>
          </c:val>
          <c:smooth val="0"/>
        </c:ser>
        <c:ser>
          <c:idx val="2"/>
          <c:order val="1"/>
          <c:tx>
            <c:strRef>
              <c:f>'Tilgang pr.år'!$B$46</c:f>
              <c:strCache>
                <c:ptCount val="1"/>
                <c:pt idx="0">
                  <c:v>Akkumulert</c:v>
                </c:pt>
              </c:strCache>
            </c:strRef>
          </c:tx>
          <c:dLbls>
            <c:txPr>
              <a:bodyPr/>
              <a:lstStyle/>
              <a:p>
                <a:pPr>
                  <a:defRPr sz="1000" b="1"/>
                </a:pPr>
                <a:endParaRPr lang="nb-NO"/>
              </a:p>
            </c:txPr>
            <c:dLblPos val="t"/>
            <c:showLegendKey val="0"/>
            <c:showVal val="1"/>
            <c:showCatName val="0"/>
            <c:showSerName val="0"/>
            <c:showPercent val="0"/>
            <c:showBubbleSize val="0"/>
            <c:showLeaderLines val="0"/>
          </c:dLbls>
          <c:cat>
            <c:strRef>
              <c:f>'Tilgang pr.år'!$C$43:$I$44</c:f>
              <c:strCache>
                <c:ptCount val="7"/>
                <c:pt idx="0">
                  <c:v>2007</c:v>
                </c:pt>
                <c:pt idx="1">
                  <c:v>2008</c:v>
                </c:pt>
                <c:pt idx="2">
                  <c:v>2009</c:v>
                </c:pt>
                <c:pt idx="3">
                  <c:v>2010</c:v>
                </c:pt>
                <c:pt idx="4">
                  <c:v>2011</c:v>
                </c:pt>
                <c:pt idx="5">
                  <c:v>2012</c:v>
                </c:pt>
                <c:pt idx="6">
                  <c:v>2013</c:v>
                </c:pt>
              </c:strCache>
            </c:strRef>
          </c:cat>
          <c:val>
            <c:numRef>
              <c:f>'Tilgang pr.år'!$C$46:$I$46</c:f>
              <c:numCache>
                <c:formatCode>#,##0_ ;[Red]\-#,##0\ </c:formatCode>
                <c:ptCount val="7"/>
                <c:pt idx="0">
                  <c:v>16</c:v>
                </c:pt>
                <c:pt idx="1">
                  <c:v>29</c:v>
                </c:pt>
                <c:pt idx="2">
                  <c:v>43</c:v>
                </c:pt>
                <c:pt idx="3">
                  <c:v>61</c:v>
                </c:pt>
                <c:pt idx="4">
                  <c:v>81</c:v>
                </c:pt>
                <c:pt idx="5">
                  <c:v>97</c:v>
                </c:pt>
                <c:pt idx="6">
                  <c:v>116</c:v>
                </c:pt>
              </c:numCache>
            </c:numRef>
          </c:val>
          <c:smooth val="0"/>
        </c:ser>
        <c:dLbls>
          <c:showLegendKey val="0"/>
          <c:showVal val="0"/>
          <c:showCatName val="0"/>
          <c:showSerName val="0"/>
          <c:showPercent val="0"/>
          <c:showBubbleSize val="0"/>
        </c:dLbls>
        <c:marker val="1"/>
        <c:smooth val="0"/>
        <c:axId val="107604608"/>
        <c:axId val="107692416"/>
      </c:lineChart>
      <c:catAx>
        <c:axId val="107604608"/>
        <c:scaling>
          <c:orientation val="minMax"/>
        </c:scaling>
        <c:delete val="0"/>
        <c:axPos val="b"/>
        <c:majorTickMark val="out"/>
        <c:minorTickMark val="none"/>
        <c:tickLblPos val="nextTo"/>
        <c:txPr>
          <a:bodyPr/>
          <a:lstStyle/>
          <a:p>
            <a:pPr>
              <a:defRPr b="1"/>
            </a:pPr>
            <a:endParaRPr lang="nb-NO"/>
          </a:p>
        </c:txPr>
        <c:crossAx val="107692416"/>
        <c:crosses val="autoZero"/>
        <c:auto val="1"/>
        <c:lblAlgn val="ctr"/>
        <c:lblOffset val="100"/>
        <c:noMultiLvlLbl val="0"/>
      </c:catAx>
      <c:valAx>
        <c:axId val="107692416"/>
        <c:scaling>
          <c:orientation val="minMax"/>
        </c:scaling>
        <c:delete val="0"/>
        <c:axPos val="l"/>
        <c:majorGridlines/>
        <c:numFmt formatCode="#,##0_ ;[Red]\-#,##0\ " sourceLinked="1"/>
        <c:majorTickMark val="out"/>
        <c:minorTickMark val="none"/>
        <c:tickLblPos val="nextTo"/>
        <c:txPr>
          <a:bodyPr/>
          <a:lstStyle/>
          <a:p>
            <a:pPr>
              <a:defRPr b="1"/>
            </a:pPr>
            <a:endParaRPr lang="nb-NO"/>
          </a:p>
        </c:txPr>
        <c:crossAx val="107604608"/>
        <c:crosses val="autoZero"/>
        <c:crossBetween val="between"/>
      </c:valAx>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400"/>
            </a:pPr>
            <a:r>
              <a:rPr lang="nb-NO" sz="1400"/>
              <a:t>Søknader og innvilgede prosjekter pr. år - NTNU</a:t>
            </a:r>
          </a:p>
        </c:rich>
      </c:tx>
      <c:overlay val="0"/>
    </c:title>
    <c:autoTitleDeleted val="0"/>
    <c:plotArea>
      <c:layout>
        <c:manualLayout>
          <c:layoutTarget val="inner"/>
          <c:xMode val="edge"/>
          <c:yMode val="edge"/>
          <c:x val="4.7057079648483428E-2"/>
          <c:y val="8.7661581364829391E-2"/>
          <c:w val="0.93737321051429079"/>
          <c:h val="0.78931414041994752"/>
        </c:manualLayout>
      </c:layout>
      <c:barChart>
        <c:barDir val="col"/>
        <c:grouping val="clustered"/>
        <c:varyColors val="0"/>
        <c:ser>
          <c:idx val="15"/>
          <c:order val="0"/>
          <c:tx>
            <c:strRef>
              <c:f>'NTNU søkn. &amp; prosj.'!$A$29</c:f>
              <c:strCache>
                <c:ptCount val="1"/>
                <c:pt idx="0">
                  <c:v>Sum</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dLbls>
            <c:showLegendKey val="0"/>
            <c:showVal val="1"/>
            <c:showCatName val="0"/>
            <c:showSerName val="0"/>
            <c:showPercent val="0"/>
            <c:showBubbleSize val="0"/>
            <c:showLeaderLines val="0"/>
          </c:dLbls>
          <c:cat>
            <c:strRef>
              <c:f>'NTNU søkn. &amp; prosj.'!$B$13:$O$13</c:f>
              <c:strCache>
                <c:ptCount val="14"/>
                <c:pt idx="0">
                  <c:v>Søkn.</c:v>
                </c:pt>
                <c:pt idx="1">
                  <c:v>Prosj.</c:v>
                </c:pt>
                <c:pt idx="2">
                  <c:v>Søkn.</c:v>
                </c:pt>
                <c:pt idx="3">
                  <c:v>Prosj.</c:v>
                </c:pt>
                <c:pt idx="4">
                  <c:v>Søkn.</c:v>
                </c:pt>
                <c:pt idx="5">
                  <c:v>Prosj.</c:v>
                </c:pt>
                <c:pt idx="6">
                  <c:v>Søkn.</c:v>
                </c:pt>
                <c:pt idx="7">
                  <c:v>Prosj.</c:v>
                </c:pt>
                <c:pt idx="8">
                  <c:v>Søkn.</c:v>
                </c:pt>
                <c:pt idx="9">
                  <c:v>Prosj.</c:v>
                </c:pt>
                <c:pt idx="10">
                  <c:v>Søkn.</c:v>
                </c:pt>
                <c:pt idx="11">
                  <c:v>Prosj.</c:v>
                </c:pt>
                <c:pt idx="12">
                  <c:v>Søkn.</c:v>
                </c:pt>
                <c:pt idx="13">
                  <c:v>Prosj.</c:v>
                </c:pt>
              </c:strCache>
            </c:strRef>
          </c:cat>
          <c:val>
            <c:numRef>
              <c:f>'NTNU søkn. &amp; prosj.'!$B$29:$O$29</c:f>
              <c:numCache>
                <c:formatCode>#,##0_ ;[Red]\-#,##0\ </c:formatCode>
                <c:ptCount val="14"/>
                <c:pt idx="0">
                  <c:v>118</c:v>
                </c:pt>
                <c:pt idx="1">
                  <c:v>16</c:v>
                </c:pt>
                <c:pt idx="2">
                  <c:v>58</c:v>
                </c:pt>
                <c:pt idx="3">
                  <c:v>13</c:v>
                </c:pt>
                <c:pt idx="4">
                  <c:v>81</c:v>
                </c:pt>
                <c:pt idx="5">
                  <c:v>14</c:v>
                </c:pt>
                <c:pt idx="6">
                  <c:v>79</c:v>
                </c:pt>
                <c:pt idx="7">
                  <c:v>18</c:v>
                </c:pt>
                <c:pt idx="8">
                  <c:v>129</c:v>
                </c:pt>
                <c:pt idx="9">
                  <c:v>20</c:v>
                </c:pt>
                <c:pt idx="10">
                  <c:v>86</c:v>
                </c:pt>
                <c:pt idx="11">
                  <c:v>19</c:v>
                </c:pt>
                <c:pt idx="12">
                  <c:v>79</c:v>
                </c:pt>
                <c:pt idx="13">
                  <c:v>12</c:v>
                </c:pt>
              </c:numCache>
            </c:numRef>
          </c:val>
        </c:ser>
        <c:dLbls>
          <c:showLegendKey val="0"/>
          <c:showVal val="0"/>
          <c:showCatName val="0"/>
          <c:showSerName val="0"/>
          <c:showPercent val="0"/>
          <c:showBubbleSize val="0"/>
        </c:dLbls>
        <c:gapWidth val="150"/>
        <c:axId val="107713280"/>
        <c:axId val="107714816"/>
      </c:barChart>
      <c:catAx>
        <c:axId val="107713280"/>
        <c:scaling>
          <c:orientation val="minMax"/>
        </c:scaling>
        <c:delete val="0"/>
        <c:axPos val="b"/>
        <c:majorTickMark val="out"/>
        <c:minorTickMark val="none"/>
        <c:tickLblPos val="nextTo"/>
        <c:crossAx val="107714816"/>
        <c:crosses val="autoZero"/>
        <c:auto val="1"/>
        <c:lblAlgn val="ctr"/>
        <c:lblOffset val="100"/>
        <c:noMultiLvlLbl val="0"/>
      </c:catAx>
      <c:valAx>
        <c:axId val="107714816"/>
        <c:scaling>
          <c:orientation val="minMax"/>
        </c:scaling>
        <c:delete val="0"/>
        <c:axPos val="l"/>
        <c:majorGridlines/>
        <c:numFmt formatCode="#,##0_ ;[Red]\-#,##0\ " sourceLinked="1"/>
        <c:majorTickMark val="out"/>
        <c:minorTickMark val="none"/>
        <c:tickLblPos val="nextTo"/>
        <c:crossAx val="107713280"/>
        <c:crosses val="autoZero"/>
        <c:crossBetween val="between"/>
      </c:valAx>
    </c:plotArea>
    <c:plotVisOnly val="1"/>
    <c:dispBlanksAs val="gap"/>
    <c:showDLblsOverMax val="0"/>
  </c:chart>
  <c:txPr>
    <a:bodyPr/>
    <a:lstStyle/>
    <a:p>
      <a:pPr>
        <a:defRPr b="1"/>
      </a:pPr>
      <a:endParaRPr lang="nb-NO"/>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800" b="1" i="0" u="none" strike="noStrike" baseline="0">
                <a:effectLst/>
              </a:rPr>
              <a:t>Søknader og innvilgede prosjekter pr. fakultet </a:t>
            </a:r>
            <a:endParaRPr lang="nb-NO"/>
          </a:p>
        </c:rich>
      </c:tx>
      <c:overlay val="0"/>
    </c:title>
    <c:autoTitleDeleted val="0"/>
    <c:plotArea>
      <c:layout/>
      <c:barChart>
        <c:barDir val="col"/>
        <c:grouping val="clustered"/>
        <c:varyColors val="0"/>
        <c:ser>
          <c:idx val="0"/>
          <c:order val="0"/>
          <c:tx>
            <c:strRef>
              <c:f>'NTNU søkn. &amp; prosj.'!$P$36</c:f>
              <c:strCache>
                <c:ptCount val="1"/>
                <c:pt idx="0">
                  <c:v>Søkn.</c:v>
                </c:pt>
              </c:strCache>
            </c:strRef>
          </c:tx>
          <c:spPr>
            <a:solidFill>
              <a:schemeClr val="accent1"/>
            </a:solidFill>
          </c:spPr>
          <c:invertIfNegative val="0"/>
          <c:dLbls>
            <c:showLegendKey val="0"/>
            <c:showVal val="1"/>
            <c:showCatName val="0"/>
            <c:showSerName val="0"/>
            <c:showPercent val="0"/>
            <c:showBubbleSize val="0"/>
            <c:showLeaderLines val="0"/>
          </c:dLbls>
          <c:cat>
            <c:strRef>
              <c:f>'NTNU søkn. &amp; prosj.'!$A$37:$A$44</c:f>
              <c:strCache>
                <c:ptCount val="8"/>
                <c:pt idx="0">
                  <c:v>HF</c:v>
                </c:pt>
                <c:pt idx="1">
                  <c:v>DMF</c:v>
                </c:pt>
                <c:pt idx="2">
                  <c:v>AB</c:v>
                </c:pt>
                <c:pt idx="3">
                  <c:v>IME</c:v>
                </c:pt>
                <c:pt idx="4">
                  <c:v>IVT</c:v>
                </c:pt>
                <c:pt idx="5">
                  <c:v>NT</c:v>
                </c:pt>
                <c:pt idx="6">
                  <c:v>SVT</c:v>
                </c:pt>
                <c:pt idx="7">
                  <c:v>VM</c:v>
                </c:pt>
              </c:strCache>
            </c:strRef>
          </c:cat>
          <c:val>
            <c:numRef>
              <c:f>'NTNU søkn. &amp; prosj.'!$P$37:$P$44</c:f>
              <c:numCache>
                <c:formatCode>_(* #,##0_);_(* \(#,##0\);_(* "-"??_);_(@_)</c:formatCode>
                <c:ptCount val="8"/>
                <c:pt idx="0">
                  <c:v>35</c:v>
                </c:pt>
                <c:pt idx="1">
                  <c:v>67</c:v>
                </c:pt>
                <c:pt idx="2">
                  <c:v>19</c:v>
                </c:pt>
                <c:pt idx="3">
                  <c:v>147</c:v>
                </c:pt>
                <c:pt idx="4">
                  <c:v>121</c:v>
                </c:pt>
                <c:pt idx="5">
                  <c:v>155</c:v>
                </c:pt>
                <c:pt idx="6">
                  <c:v>54</c:v>
                </c:pt>
                <c:pt idx="7">
                  <c:v>3</c:v>
                </c:pt>
              </c:numCache>
            </c:numRef>
          </c:val>
        </c:ser>
        <c:ser>
          <c:idx val="1"/>
          <c:order val="1"/>
          <c:tx>
            <c:strRef>
              <c:f>'NTNU søkn. &amp; prosj.'!$Q$36</c:f>
              <c:strCache>
                <c:ptCount val="1"/>
                <c:pt idx="0">
                  <c:v>Prosj.</c:v>
                </c:pt>
              </c:strCache>
            </c:strRef>
          </c:tx>
          <c:spPr>
            <a:solidFill>
              <a:schemeClr val="accent3"/>
            </a:solidFill>
          </c:spPr>
          <c:invertIfNegative val="0"/>
          <c:dLbls>
            <c:showLegendKey val="0"/>
            <c:showVal val="1"/>
            <c:showCatName val="0"/>
            <c:showSerName val="0"/>
            <c:showPercent val="0"/>
            <c:showBubbleSize val="0"/>
            <c:showLeaderLines val="0"/>
          </c:dLbls>
          <c:cat>
            <c:strRef>
              <c:f>'NTNU søkn. &amp; prosj.'!$A$37:$A$44</c:f>
              <c:strCache>
                <c:ptCount val="8"/>
                <c:pt idx="0">
                  <c:v>HF</c:v>
                </c:pt>
                <c:pt idx="1">
                  <c:v>DMF</c:v>
                </c:pt>
                <c:pt idx="2">
                  <c:v>AB</c:v>
                </c:pt>
                <c:pt idx="3">
                  <c:v>IME</c:v>
                </c:pt>
                <c:pt idx="4">
                  <c:v>IVT</c:v>
                </c:pt>
                <c:pt idx="5">
                  <c:v>NT</c:v>
                </c:pt>
                <c:pt idx="6">
                  <c:v>SVT</c:v>
                </c:pt>
                <c:pt idx="7">
                  <c:v>VM</c:v>
                </c:pt>
              </c:strCache>
            </c:strRef>
          </c:cat>
          <c:val>
            <c:numRef>
              <c:f>'NTNU søkn. &amp; prosj.'!$Q$37:$Q$44</c:f>
              <c:numCache>
                <c:formatCode>_(* #,##0_);_(* \(#,##0\);_(* "-"??_);_(@_)</c:formatCode>
                <c:ptCount val="8"/>
                <c:pt idx="0">
                  <c:v>1</c:v>
                </c:pt>
                <c:pt idx="1">
                  <c:v>23</c:v>
                </c:pt>
                <c:pt idx="2">
                  <c:v>3</c:v>
                </c:pt>
                <c:pt idx="3">
                  <c:v>17</c:v>
                </c:pt>
                <c:pt idx="4">
                  <c:v>35</c:v>
                </c:pt>
                <c:pt idx="5">
                  <c:v>25</c:v>
                </c:pt>
                <c:pt idx="6">
                  <c:v>6</c:v>
                </c:pt>
                <c:pt idx="7">
                  <c:v>2</c:v>
                </c:pt>
              </c:numCache>
            </c:numRef>
          </c:val>
        </c:ser>
        <c:dLbls>
          <c:showLegendKey val="0"/>
          <c:showVal val="0"/>
          <c:showCatName val="0"/>
          <c:showSerName val="0"/>
          <c:showPercent val="0"/>
          <c:showBubbleSize val="0"/>
        </c:dLbls>
        <c:gapWidth val="150"/>
        <c:axId val="109642112"/>
        <c:axId val="109643648"/>
      </c:barChart>
      <c:catAx>
        <c:axId val="109642112"/>
        <c:scaling>
          <c:orientation val="minMax"/>
        </c:scaling>
        <c:delete val="0"/>
        <c:axPos val="b"/>
        <c:majorTickMark val="out"/>
        <c:minorTickMark val="none"/>
        <c:tickLblPos val="nextTo"/>
        <c:txPr>
          <a:bodyPr/>
          <a:lstStyle/>
          <a:p>
            <a:pPr>
              <a:defRPr b="1"/>
            </a:pPr>
            <a:endParaRPr lang="nb-NO"/>
          </a:p>
        </c:txPr>
        <c:crossAx val="109643648"/>
        <c:crosses val="autoZero"/>
        <c:auto val="1"/>
        <c:lblAlgn val="ctr"/>
        <c:lblOffset val="100"/>
        <c:noMultiLvlLbl val="0"/>
      </c:catAx>
      <c:valAx>
        <c:axId val="109643648"/>
        <c:scaling>
          <c:orientation val="minMax"/>
        </c:scaling>
        <c:delete val="0"/>
        <c:axPos val="l"/>
        <c:majorGridlines/>
        <c:numFmt formatCode="_(* #,##0_);_(* \(#,##0\);_(* &quot;-&quot;??_);_(@_)" sourceLinked="1"/>
        <c:majorTickMark val="out"/>
        <c:minorTickMark val="none"/>
        <c:tickLblPos val="nextTo"/>
        <c:txPr>
          <a:bodyPr/>
          <a:lstStyle/>
          <a:p>
            <a:pPr>
              <a:defRPr b="1"/>
            </a:pPr>
            <a:endParaRPr lang="nb-NO"/>
          </a:p>
        </c:txPr>
        <c:crossAx val="109642112"/>
        <c:crosses val="autoZero"/>
        <c:crossBetween val="between"/>
      </c:valAx>
    </c:plotArea>
    <c:legend>
      <c:legendPos val="r"/>
      <c:overlay val="0"/>
      <c:txPr>
        <a:bodyPr/>
        <a:lstStyle/>
        <a:p>
          <a:pPr>
            <a:defRPr b="1"/>
          </a:pPr>
          <a:endParaRPr lang="nb-NO"/>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0.09271</cdr:x>
      <cdr:y>0.92396</cdr:y>
    </cdr:from>
    <cdr:to>
      <cdr:x>0.96002</cdr:x>
      <cdr:y>0.96912</cdr:y>
    </cdr:to>
    <cdr:sp macro="" textlink="">
      <cdr:nvSpPr>
        <cdr:cNvPr id="3" name="TekstSylinder 1"/>
        <cdr:cNvSpPr txBox="1"/>
      </cdr:nvSpPr>
      <cdr:spPr>
        <a:xfrm xmlns:a="http://schemas.openxmlformats.org/drawingml/2006/main">
          <a:off x="831850" y="5632450"/>
          <a:ext cx="7781944" cy="2753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nb-NO" sz="1100" b="1"/>
            <a:t>2007	     </a:t>
          </a:r>
          <a:r>
            <a:rPr lang="nb-NO" sz="1100" b="1">
              <a:effectLst/>
              <a:latin typeface="+mn-lt"/>
              <a:ea typeface="+mn-ea"/>
              <a:cs typeface="+mn-cs"/>
            </a:rPr>
            <a:t>     </a:t>
          </a:r>
          <a:r>
            <a:rPr lang="nb-NO" sz="1100" b="1"/>
            <a:t>2008	</a:t>
          </a:r>
          <a:r>
            <a:rPr lang="nb-NO" sz="1100" b="1">
              <a:effectLst/>
              <a:latin typeface="+mn-lt"/>
              <a:ea typeface="+mn-ea"/>
              <a:cs typeface="+mn-cs"/>
            </a:rPr>
            <a:t>               </a:t>
          </a:r>
          <a:r>
            <a:rPr lang="nb-NO" sz="1100" b="1"/>
            <a:t>2009	</a:t>
          </a:r>
          <a:r>
            <a:rPr lang="nb-NO" sz="1100" b="1">
              <a:effectLst/>
              <a:latin typeface="+mn-lt"/>
              <a:ea typeface="+mn-ea"/>
              <a:cs typeface="+mn-cs"/>
            </a:rPr>
            <a:t>                              </a:t>
          </a:r>
          <a:r>
            <a:rPr lang="nb-NO" sz="1100" b="1"/>
            <a:t>2010	</a:t>
          </a:r>
          <a:r>
            <a:rPr lang="nb-NO" sz="1100" b="1">
              <a:effectLst/>
              <a:latin typeface="+mn-lt"/>
              <a:ea typeface="+mn-ea"/>
              <a:cs typeface="+mn-cs"/>
            </a:rPr>
            <a:t>     </a:t>
          </a:r>
          <a:r>
            <a:rPr lang="nb-NO" sz="1100" b="1"/>
            <a:t>2011	</a:t>
          </a:r>
          <a:r>
            <a:rPr lang="nb-NO" sz="1100" b="1">
              <a:effectLst/>
              <a:latin typeface="+mn-lt"/>
              <a:ea typeface="+mn-ea"/>
              <a:cs typeface="+mn-cs"/>
            </a:rPr>
            <a:t>               </a:t>
          </a:r>
          <a:r>
            <a:rPr lang="nb-NO" sz="1100" b="1"/>
            <a:t>2012</a:t>
          </a:r>
          <a:r>
            <a:rPr lang="nb-NO" sz="1100" b="1">
              <a:effectLst/>
              <a:latin typeface="+mn-lt"/>
              <a:ea typeface="+mn-ea"/>
              <a:cs typeface="+mn-cs"/>
            </a:rPr>
            <a:t>	                         </a:t>
          </a:r>
          <a:r>
            <a:rPr lang="nb-NO" sz="1100" b="1"/>
            <a:t>2013</a:t>
          </a:r>
        </a:p>
      </cdr:txBody>
    </cdr:sp>
  </cdr:relSizeAnchor>
  <cdr:relSizeAnchor xmlns:cdr="http://schemas.openxmlformats.org/drawingml/2006/chartDrawing">
    <cdr:from>
      <cdr:x>0.09271</cdr:x>
      <cdr:y>0.92396</cdr:y>
    </cdr:from>
    <cdr:to>
      <cdr:x>0.96002</cdr:x>
      <cdr:y>0.96912</cdr:y>
    </cdr:to>
    <cdr:sp macro="" textlink="">
      <cdr:nvSpPr>
        <cdr:cNvPr id="4" name="TekstSylinder 1"/>
        <cdr:cNvSpPr txBox="1"/>
      </cdr:nvSpPr>
      <cdr:spPr>
        <a:xfrm xmlns:a="http://schemas.openxmlformats.org/drawingml/2006/main">
          <a:off x="831850" y="5632450"/>
          <a:ext cx="7781944" cy="2753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nb-NO" sz="1100" b="1"/>
            <a:t>2007	     </a:t>
          </a:r>
          <a:r>
            <a:rPr lang="nb-NO" sz="1100" b="1">
              <a:effectLst/>
              <a:latin typeface="+mn-lt"/>
              <a:ea typeface="+mn-ea"/>
              <a:cs typeface="+mn-cs"/>
            </a:rPr>
            <a:t>     </a:t>
          </a:r>
          <a:r>
            <a:rPr lang="nb-NO" sz="1100" b="1"/>
            <a:t>2008	</a:t>
          </a:r>
          <a:r>
            <a:rPr lang="nb-NO" sz="1100" b="1">
              <a:effectLst/>
              <a:latin typeface="+mn-lt"/>
              <a:ea typeface="+mn-ea"/>
              <a:cs typeface="+mn-cs"/>
            </a:rPr>
            <a:t>               </a:t>
          </a:r>
          <a:r>
            <a:rPr lang="nb-NO" sz="1100" b="1"/>
            <a:t>2009	</a:t>
          </a:r>
          <a:r>
            <a:rPr lang="nb-NO" sz="1100" b="1">
              <a:effectLst/>
              <a:latin typeface="+mn-lt"/>
              <a:ea typeface="+mn-ea"/>
              <a:cs typeface="+mn-cs"/>
            </a:rPr>
            <a:t>                              </a:t>
          </a:r>
          <a:r>
            <a:rPr lang="nb-NO" sz="1100" b="1"/>
            <a:t>2010	</a:t>
          </a:r>
          <a:r>
            <a:rPr lang="nb-NO" sz="1100" b="1">
              <a:effectLst/>
              <a:latin typeface="+mn-lt"/>
              <a:ea typeface="+mn-ea"/>
              <a:cs typeface="+mn-cs"/>
            </a:rPr>
            <a:t>     </a:t>
          </a:r>
          <a:r>
            <a:rPr lang="nb-NO" sz="1100" b="1"/>
            <a:t>2011	</a:t>
          </a:r>
          <a:r>
            <a:rPr lang="nb-NO" sz="1100" b="1">
              <a:effectLst/>
              <a:latin typeface="+mn-lt"/>
              <a:ea typeface="+mn-ea"/>
              <a:cs typeface="+mn-cs"/>
            </a:rPr>
            <a:t>               </a:t>
          </a:r>
          <a:r>
            <a:rPr lang="nb-NO" sz="1100" b="1"/>
            <a:t>2012</a:t>
          </a:r>
          <a:r>
            <a:rPr lang="nb-NO" sz="1100" b="1">
              <a:effectLst/>
              <a:latin typeface="+mn-lt"/>
              <a:ea typeface="+mn-ea"/>
              <a:cs typeface="+mn-cs"/>
            </a:rPr>
            <a:t>	                         </a:t>
          </a:r>
          <a:r>
            <a:rPr lang="nb-NO" sz="1100" b="1"/>
            <a:t>2013</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1500</Words>
  <Characters>7952</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Elisabeth Sindre</dc:creator>
  <cp:lastModifiedBy>Nina Elisabeth Sindre</cp:lastModifiedBy>
  <cp:revision>5</cp:revision>
  <dcterms:created xsi:type="dcterms:W3CDTF">2013-09-24T16:00:00Z</dcterms:created>
  <dcterms:modified xsi:type="dcterms:W3CDTF">2013-09-24T21:53:00Z</dcterms:modified>
</cp:coreProperties>
</file>