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1FE0B139" w:rsidR="00C56C24" w:rsidRDefault="00CB32AC" w:rsidP="00C56C24">
      <w:pPr>
        <w:pStyle w:val="Hode"/>
        <w:tabs>
          <w:tab w:val="right" w:pos="9809"/>
        </w:tabs>
        <w:spacing w:line="240" w:lineRule="exact"/>
        <w:rPr>
          <w:rFonts w:ascii="Arial" w:hAnsi="Arial"/>
          <w:sz w:val="24"/>
        </w:rPr>
      </w:pPr>
      <w:r>
        <w:rPr>
          <w:rFonts w:ascii="Arial" w:hAnsi="Arial"/>
          <w:sz w:val="24"/>
        </w:rPr>
        <w:t>Institutt for psykologi</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129C348C" w14:textId="4A23AE94" w:rsidR="009B553E" w:rsidRPr="00C56C24" w:rsidRDefault="00CB32AC">
      <w:pPr>
        <w:rPr>
          <w:rFonts w:ascii="Arial" w:hAnsi="Arial"/>
          <w:b/>
          <w:bCs/>
          <w:sz w:val="36"/>
          <w:szCs w:val="36"/>
        </w:rPr>
      </w:pPr>
      <w:r>
        <w:rPr>
          <w:rFonts w:ascii="Arial" w:hAnsi="Arial"/>
          <w:b/>
          <w:bCs/>
          <w:sz w:val="36"/>
          <w:szCs w:val="36"/>
        </w:rPr>
        <w:t>Eksamensoppgave i PSY2022 - forskningsdesign</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58104876" w:rsidR="009B553E" w:rsidRDefault="00C45EF3">
      <w:pPr>
        <w:spacing w:line="360" w:lineRule="auto"/>
        <w:rPr>
          <w:rFonts w:ascii="Arial" w:hAnsi="Arial"/>
          <w:b/>
        </w:rPr>
      </w:pPr>
      <w:r>
        <w:rPr>
          <w:rFonts w:ascii="Arial" w:hAnsi="Arial"/>
          <w:b/>
        </w:rPr>
        <w:t xml:space="preserve">Faglig kontakt under eksamen: </w:t>
      </w:r>
      <w:r w:rsidR="00CB32AC">
        <w:rPr>
          <w:rFonts w:ascii="Arial" w:hAnsi="Arial"/>
          <w:b/>
        </w:rPr>
        <w:t>Mons Bendixen</w:t>
      </w:r>
    </w:p>
    <w:p w14:paraId="1DF38D88" w14:textId="1982DE25" w:rsidR="009B553E" w:rsidRDefault="00C45EF3">
      <w:pPr>
        <w:spacing w:line="360" w:lineRule="auto"/>
        <w:rPr>
          <w:rFonts w:ascii="Arial" w:hAnsi="Arial"/>
          <w:b/>
        </w:rPr>
      </w:pPr>
      <w:r>
        <w:rPr>
          <w:rFonts w:ascii="Arial" w:hAnsi="Arial"/>
          <w:b/>
        </w:rPr>
        <w:t>Tlf.:</w:t>
      </w:r>
      <w:r w:rsidR="00CB32AC">
        <w:rPr>
          <w:rFonts w:ascii="Arial" w:hAnsi="Arial"/>
          <w:b/>
        </w:rPr>
        <w:t xml:space="preserve"> 73 59 19 60</w:t>
      </w:r>
    </w:p>
    <w:p w14:paraId="23895C7F" w14:textId="77777777" w:rsidR="009B553E" w:rsidRDefault="009B553E">
      <w:pPr>
        <w:spacing w:line="360" w:lineRule="auto"/>
        <w:rPr>
          <w:rFonts w:ascii="Arial" w:hAnsi="Arial"/>
          <w:b/>
        </w:rPr>
      </w:pPr>
    </w:p>
    <w:p w14:paraId="67AE2F8E" w14:textId="77777777" w:rsidR="009B553E" w:rsidRDefault="009B553E">
      <w:pPr>
        <w:spacing w:line="360" w:lineRule="auto"/>
        <w:rPr>
          <w:rFonts w:ascii="Arial" w:hAnsi="Arial"/>
          <w:b/>
        </w:rPr>
      </w:pPr>
    </w:p>
    <w:p w14:paraId="20633600" w14:textId="09A86743" w:rsidR="009B553E" w:rsidRDefault="00C45EF3">
      <w:pPr>
        <w:spacing w:line="360" w:lineRule="auto"/>
        <w:rPr>
          <w:rFonts w:ascii="Arial" w:hAnsi="Arial"/>
          <w:b/>
        </w:rPr>
      </w:pPr>
      <w:r>
        <w:rPr>
          <w:rFonts w:ascii="Arial" w:hAnsi="Arial"/>
          <w:b/>
        </w:rPr>
        <w:t>Eksamensdato:</w:t>
      </w:r>
      <w:r w:rsidR="00CB32AC">
        <w:rPr>
          <w:rFonts w:ascii="Arial" w:hAnsi="Arial"/>
          <w:b/>
        </w:rPr>
        <w:t xml:space="preserve"> 5. juni 2018</w:t>
      </w:r>
    </w:p>
    <w:p w14:paraId="191B688E" w14:textId="438E3761" w:rsidR="009B553E" w:rsidRDefault="00C45EF3">
      <w:pPr>
        <w:spacing w:line="360" w:lineRule="auto"/>
        <w:rPr>
          <w:rFonts w:ascii="Arial" w:hAnsi="Arial"/>
          <w:b/>
        </w:rPr>
      </w:pPr>
      <w:r>
        <w:rPr>
          <w:rFonts w:ascii="Arial" w:hAnsi="Arial"/>
          <w:b/>
        </w:rPr>
        <w:t>Eksamenstid (fra-til):</w:t>
      </w:r>
      <w:r w:rsidR="00CB32AC">
        <w:rPr>
          <w:rFonts w:ascii="Arial" w:hAnsi="Arial"/>
          <w:b/>
        </w:rPr>
        <w:t xml:space="preserve"> 09:00-13:00</w:t>
      </w:r>
    </w:p>
    <w:p w14:paraId="4B86DF29" w14:textId="75FD5EC2" w:rsidR="009B553E" w:rsidRDefault="00C45EF3">
      <w:pPr>
        <w:spacing w:line="360" w:lineRule="auto"/>
        <w:rPr>
          <w:rFonts w:ascii="Arial" w:hAnsi="Arial"/>
          <w:b/>
        </w:rPr>
      </w:pPr>
      <w:r>
        <w:rPr>
          <w:rFonts w:ascii="Arial" w:hAnsi="Arial"/>
          <w:b/>
        </w:rPr>
        <w:t xml:space="preserve">Hjelpemiddelkode/Tillatte hjelpemidler: </w:t>
      </w:r>
      <w:r w:rsidR="00CB32AC">
        <w:rPr>
          <w:rFonts w:ascii="Arial" w:hAnsi="Arial"/>
          <w:b/>
        </w:rPr>
        <w:t>Ingen</w:t>
      </w:r>
    </w:p>
    <w:p w14:paraId="732D06F2" w14:textId="1429311D" w:rsidR="009B553E" w:rsidRDefault="009B553E">
      <w:pPr>
        <w:spacing w:line="360" w:lineRule="auto"/>
        <w:rPr>
          <w:rFonts w:ascii="Arial" w:hAnsi="Arial"/>
          <w:b/>
        </w:rPr>
      </w:pPr>
    </w:p>
    <w:p w14:paraId="21707A23" w14:textId="77777777" w:rsidR="009B553E" w:rsidRDefault="009B553E">
      <w:pPr>
        <w:spacing w:line="360" w:lineRule="auto"/>
        <w:rPr>
          <w:rFonts w:ascii="Arial" w:hAnsi="Arial"/>
        </w:rPr>
      </w:pPr>
    </w:p>
    <w:p w14:paraId="730A63CF" w14:textId="77777777" w:rsidR="009B553E" w:rsidRDefault="009B553E">
      <w:pPr>
        <w:spacing w:line="360" w:lineRule="auto"/>
        <w:rPr>
          <w:rFonts w:ascii="Arial" w:hAnsi="Arial"/>
          <w:b/>
        </w:rPr>
      </w:pPr>
    </w:p>
    <w:p w14:paraId="70A3E6E5" w14:textId="47C9CCE8" w:rsidR="009B553E" w:rsidRDefault="00C45EF3">
      <w:pPr>
        <w:pStyle w:val="Overskrift2"/>
        <w:spacing w:before="0" w:after="0" w:line="360" w:lineRule="auto"/>
        <w:rPr>
          <w:rFonts w:ascii="Arial" w:hAnsi="Arial"/>
        </w:rPr>
      </w:pPr>
      <w:r>
        <w:rPr>
          <w:rFonts w:ascii="Arial" w:hAnsi="Arial"/>
        </w:rPr>
        <w:t>Målform/språk:</w:t>
      </w:r>
      <w:r w:rsidR="00CB32AC">
        <w:rPr>
          <w:rFonts w:ascii="Arial" w:hAnsi="Arial"/>
        </w:rPr>
        <w:t xml:space="preserve"> bokmål</w:t>
      </w:r>
    </w:p>
    <w:p w14:paraId="5ADDD234" w14:textId="7D02E81B" w:rsidR="009B553E" w:rsidRDefault="00C45EF3">
      <w:pPr>
        <w:pStyle w:val="Overskrift2"/>
        <w:spacing w:before="0" w:after="0" w:line="360" w:lineRule="auto"/>
        <w:rPr>
          <w:rFonts w:ascii="Arial" w:hAnsi="Arial"/>
        </w:rPr>
      </w:pPr>
      <w:r>
        <w:rPr>
          <w:rFonts w:ascii="Arial" w:hAnsi="Arial"/>
        </w:rPr>
        <w:t>Antall sider</w:t>
      </w:r>
      <w:r w:rsidR="003622F0">
        <w:rPr>
          <w:rFonts w:ascii="Arial" w:hAnsi="Arial"/>
        </w:rPr>
        <w:t xml:space="preserve"> (uten forside)</w:t>
      </w:r>
      <w:r w:rsidR="00CB32AC">
        <w:rPr>
          <w:rFonts w:ascii="Arial" w:hAnsi="Arial"/>
        </w:rPr>
        <w:t xml:space="preserve">: </w:t>
      </w:r>
      <w:r w:rsidR="00A96E7F">
        <w:rPr>
          <w:rFonts w:ascii="Arial" w:hAnsi="Arial"/>
        </w:rPr>
        <w:t>3</w:t>
      </w:r>
    </w:p>
    <w:p w14:paraId="2FA008FC" w14:textId="32F883C2" w:rsidR="00AB5DD4" w:rsidRDefault="00AB5DD4" w:rsidP="00AB5DD4">
      <w:pPr>
        <w:spacing w:line="360" w:lineRule="auto"/>
        <w:rPr>
          <w:rFonts w:ascii="Arial" w:hAnsi="Arial"/>
          <w:b/>
        </w:rPr>
      </w:pPr>
    </w:p>
    <w:tbl>
      <w:tblPr>
        <w:tblStyle w:val="Tabellrutenett"/>
        <w:tblpPr w:leftFromText="141" w:rightFromText="141" w:vertAnchor="text" w:horzAnchor="margin" w:tblpY="1622"/>
        <w:tblW w:w="0" w:type="auto"/>
        <w:tblLook w:val="04A0" w:firstRow="1" w:lastRow="0" w:firstColumn="1" w:lastColumn="0" w:noHBand="0" w:noVBand="1"/>
      </w:tblPr>
      <w:tblGrid>
        <w:gridCol w:w="5225"/>
      </w:tblGrid>
      <w:tr w:rsidR="00101704" w:rsidRPr="001C7994" w14:paraId="7589DDA8" w14:textId="77777777" w:rsidTr="00101704">
        <w:trPr>
          <w:trHeight w:val="1510"/>
        </w:trPr>
        <w:tc>
          <w:tcPr>
            <w:tcW w:w="5225" w:type="dxa"/>
          </w:tcPr>
          <w:p w14:paraId="058F43B6" w14:textId="1CC8705C" w:rsidR="00101704" w:rsidRPr="00756523" w:rsidRDefault="00101704" w:rsidP="00101704">
            <w:pPr>
              <w:spacing w:line="360" w:lineRule="auto"/>
              <w:rPr>
                <w:rFonts w:ascii="Arial" w:hAnsi="Arial"/>
                <w:b/>
                <w:sz w:val="22"/>
                <w:szCs w:val="22"/>
              </w:rPr>
            </w:pPr>
            <w:r w:rsidRPr="00756523">
              <w:rPr>
                <w:rFonts w:ascii="Arial" w:hAnsi="Arial"/>
                <w:b/>
                <w:sz w:val="22"/>
                <w:szCs w:val="22"/>
              </w:rPr>
              <w:t>Informasjon om tr</w:t>
            </w:r>
            <w:r>
              <w:rPr>
                <w:rFonts w:ascii="Arial" w:hAnsi="Arial"/>
                <w:b/>
                <w:sz w:val="22"/>
                <w:szCs w:val="22"/>
              </w:rPr>
              <w:t>ykking av eksamensoppgave Originalen er:</w:t>
            </w:r>
          </w:p>
          <w:p w14:paraId="64255516" w14:textId="437E6097" w:rsidR="00101704" w:rsidRPr="001A394C" w:rsidRDefault="00101704" w:rsidP="00101704">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sidR="001A394C">
              <w:rPr>
                <w:rFonts w:ascii="Arial" w:hAnsi="Arial" w:cs="Arial"/>
                <w:b/>
                <w:sz w:val="32"/>
                <w:szCs w:val="32"/>
              </w:rPr>
              <w:t>□</w:t>
            </w:r>
            <w:r>
              <w:rPr>
                <w:rFonts w:ascii="Arial" w:hAnsi="Arial" w:cs="Arial"/>
                <w:b/>
              </w:rPr>
              <w:t xml:space="preserve">         2-sidig </w:t>
            </w:r>
            <w:r w:rsidR="001A394C" w:rsidRPr="001A394C">
              <w:rPr>
                <w:rFonts w:ascii="Arial" w:hAnsi="Arial" w:cs="Arial"/>
                <w:b/>
                <w:sz w:val="32"/>
                <w:szCs w:val="32"/>
              </w:rPr>
              <w:t>□</w:t>
            </w:r>
          </w:p>
          <w:p w14:paraId="0981F776" w14:textId="77777777" w:rsidR="00101704" w:rsidRDefault="00101704" w:rsidP="00101704">
            <w:pPr>
              <w:spacing w:line="360" w:lineRule="auto"/>
              <w:rPr>
                <w:rFonts w:ascii="Arial" w:hAnsi="Arial" w:cs="Arial"/>
                <w:b/>
                <w:sz w:val="32"/>
                <w:szCs w:val="32"/>
              </w:rPr>
            </w:pPr>
            <w:r>
              <w:rPr>
                <w:rFonts w:ascii="Arial" w:hAnsi="Arial"/>
                <w:b/>
              </w:rPr>
              <w:t xml:space="preserve">sort/hvit </w:t>
            </w:r>
            <w:r w:rsidR="001A394C" w:rsidRPr="001A394C">
              <w:rPr>
                <w:rFonts w:ascii="Arial" w:hAnsi="Arial" w:cs="Arial"/>
                <w:b/>
                <w:sz w:val="32"/>
                <w:szCs w:val="32"/>
              </w:rPr>
              <w:t>□</w:t>
            </w:r>
            <w:r w:rsidRPr="00101704">
              <w:rPr>
                <w:rFonts w:ascii="Arial" w:hAnsi="Arial" w:cs="Arial"/>
                <w:b/>
                <w:sz w:val="30"/>
                <w:szCs w:val="30"/>
              </w:rPr>
              <w:t xml:space="preserve"> </w:t>
            </w:r>
            <w:r>
              <w:rPr>
                <w:rFonts w:ascii="Arial" w:hAnsi="Arial"/>
                <w:b/>
              </w:rPr>
              <w:t xml:space="preserve">         farger </w:t>
            </w:r>
            <w:r w:rsidR="001A394C" w:rsidRPr="009A7B81">
              <w:rPr>
                <w:rFonts w:ascii="Arial" w:hAnsi="Arial" w:cs="Arial"/>
                <w:b/>
                <w:sz w:val="32"/>
                <w:szCs w:val="32"/>
              </w:rPr>
              <w:t>□</w:t>
            </w:r>
          </w:p>
          <w:p w14:paraId="073E2123" w14:textId="2842643F" w:rsidR="00AB5DD4" w:rsidRPr="00AB5DD4" w:rsidRDefault="00AB5DD4" w:rsidP="00101704">
            <w:pPr>
              <w:spacing w:line="360" w:lineRule="auto"/>
              <w:rPr>
                <w:rFonts w:ascii="Arial" w:hAnsi="Arial"/>
                <w:b/>
                <w:szCs w:val="24"/>
              </w:rPr>
            </w:pPr>
            <w:r>
              <w:rPr>
                <w:rFonts w:ascii="Arial" w:hAnsi="Arial" w:cs="Arial"/>
                <w:b/>
                <w:szCs w:val="24"/>
              </w:rPr>
              <w:t>skal ha flervalgskjema</w:t>
            </w:r>
            <w:r>
              <w:rPr>
                <w:rFonts w:ascii="Arial" w:hAnsi="Arial"/>
                <w:b/>
              </w:rPr>
              <w:t xml:space="preserve"> </w:t>
            </w:r>
            <w:r w:rsidRPr="009A7B81">
              <w:rPr>
                <w:rFonts w:ascii="Arial" w:hAnsi="Arial" w:cs="Arial"/>
                <w:b/>
                <w:sz w:val="32"/>
                <w:szCs w:val="32"/>
              </w:rPr>
              <w:t>□</w:t>
            </w:r>
            <w:r>
              <w:rPr>
                <w:rFonts w:ascii="Arial" w:hAnsi="Arial" w:cs="Arial"/>
                <w:b/>
                <w:szCs w:val="24"/>
              </w:rPr>
              <w:t xml:space="preserve"> </w:t>
            </w:r>
          </w:p>
        </w:tc>
      </w:tr>
    </w:tbl>
    <w:p w14:paraId="7FF25F0D" w14:textId="1FBE2552" w:rsidR="003722C8" w:rsidRDefault="003722C8" w:rsidP="003D6D59">
      <w:pPr>
        <w:spacing w:line="360" w:lineRule="auto"/>
        <w:ind w:left="4963" w:firstLine="709"/>
        <w:jc w:val="center"/>
        <w:rPr>
          <w:rFonts w:ascii="Arial" w:hAnsi="Arial"/>
        </w:rPr>
      </w:pPr>
    </w:p>
    <w:p w14:paraId="033B98A0" w14:textId="205AE9B9" w:rsidR="003722C8" w:rsidRDefault="003722C8" w:rsidP="003722C8">
      <w:pPr>
        <w:rPr>
          <w:rFonts w:ascii="Arial" w:hAnsi="Arial"/>
        </w:rPr>
      </w:pPr>
    </w:p>
    <w:p w14:paraId="1403F978" w14:textId="77777777" w:rsidR="003722C8" w:rsidRDefault="003722C8" w:rsidP="003722C8">
      <w:pPr>
        <w:ind w:left="7090" w:firstLine="709"/>
        <w:rPr>
          <w:rFonts w:ascii="Arial" w:hAnsi="Arial"/>
          <w:b/>
        </w:rPr>
      </w:pPr>
    </w:p>
    <w:p w14:paraId="77863021" w14:textId="77777777" w:rsidR="003722C8" w:rsidRDefault="003722C8" w:rsidP="003722C8">
      <w:pPr>
        <w:ind w:left="7090" w:firstLine="709"/>
        <w:rPr>
          <w:rFonts w:ascii="Arial" w:hAnsi="Arial"/>
          <w:b/>
        </w:rPr>
      </w:pPr>
    </w:p>
    <w:p w14:paraId="71F16363" w14:textId="77777777" w:rsidR="003722C8" w:rsidRDefault="003722C8" w:rsidP="003722C8">
      <w:pPr>
        <w:ind w:left="7090" w:firstLine="709"/>
        <w:rPr>
          <w:rFonts w:ascii="Arial" w:hAnsi="Arial"/>
          <w:b/>
        </w:rPr>
      </w:pPr>
    </w:p>
    <w:p w14:paraId="19D5890B" w14:textId="77777777" w:rsidR="000B1727" w:rsidRDefault="000B1727" w:rsidP="000B1727">
      <w:pPr>
        <w:ind w:left="7090" w:right="311" w:firstLine="423"/>
        <w:rPr>
          <w:rFonts w:ascii="Arial" w:hAnsi="Arial"/>
          <w:b/>
        </w:rPr>
      </w:pPr>
    </w:p>
    <w:p w14:paraId="5AC52F81" w14:textId="149A2310" w:rsidR="000B5FEE" w:rsidRPr="003722C8" w:rsidRDefault="003722C8" w:rsidP="000B1727">
      <w:pPr>
        <w:ind w:left="7090" w:right="311" w:firstLine="423"/>
        <w:rPr>
          <w:rFonts w:ascii="Arial" w:hAnsi="Arial"/>
          <w:b/>
        </w:rPr>
      </w:pPr>
      <w:r w:rsidRPr="003722C8">
        <w:rPr>
          <w:rFonts w:ascii="Arial" w:hAnsi="Arial"/>
          <w:b/>
        </w:rPr>
        <w:t>Kontrollert av:</w:t>
      </w:r>
    </w:p>
    <w:p w14:paraId="3D482AAE" w14:textId="77777777" w:rsidR="003722C8" w:rsidRDefault="003722C8" w:rsidP="003722C8">
      <w:pPr>
        <w:ind w:firstLine="709"/>
        <w:rPr>
          <w:rFonts w:ascii="Arial" w:hAnsi="Arial"/>
        </w:rPr>
      </w:pPr>
    </w:p>
    <w:p w14:paraId="783FEC15" w14:textId="77777777" w:rsidR="003722C8" w:rsidRDefault="003722C8" w:rsidP="003722C8">
      <w:pPr>
        <w:ind w:firstLine="709"/>
        <w:rPr>
          <w:rFonts w:ascii="Arial" w:hAnsi="Arial"/>
        </w:rPr>
      </w:pPr>
    </w:p>
    <w:p w14:paraId="4750E893" w14:textId="36DAD17B" w:rsidR="003722C8" w:rsidRPr="003722C8" w:rsidRDefault="003722C8" w:rsidP="000B1727">
      <w:pPr>
        <w:ind w:right="453" w:firstLine="709"/>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A99B492" w14:textId="77777777" w:rsidR="00A96E7F" w:rsidRDefault="003722C8" w:rsidP="003E1259">
      <w:pPr>
        <w:rPr>
          <w:b/>
          <w:sz w:val="32"/>
          <w:szCs w:val="32"/>
          <w:u w:val="single"/>
        </w:rPr>
      </w:pPr>
      <w:r>
        <w:rPr>
          <w:rFonts w:ascii="Arial" w:hAnsi="Arial"/>
        </w:rPr>
        <w:t xml:space="preserve">      Dato</w:t>
      </w:r>
      <w:r>
        <w:rPr>
          <w:rFonts w:ascii="Arial" w:hAnsi="Arial"/>
        </w:rPr>
        <w:tab/>
      </w:r>
      <w:r>
        <w:rPr>
          <w:rFonts w:ascii="Arial" w:hAnsi="Arial"/>
        </w:rPr>
        <w:tab/>
      </w:r>
      <w:r>
        <w:rPr>
          <w:rFonts w:ascii="Arial" w:hAnsi="Arial"/>
        </w:rPr>
        <w:tab/>
        <w:t>Sign</w:t>
      </w:r>
      <w:r w:rsidR="00CB32AC">
        <w:rPr>
          <w:rFonts w:ascii="Arial" w:hAnsi="Arial"/>
        </w:rPr>
        <w:br/>
      </w:r>
      <w:r w:rsidR="00CB32AC">
        <w:rPr>
          <w:rFonts w:ascii="Arial" w:hAnsi="Arial"/>
        </w:rPr>
        <w:br/>
      </w:r>
      <w:r w:rsidR="00CB32AC">
        <w:rPr>
          <w:rFonts w:ascii="Arial" w:hAnsi="Arial"/>
        </w:rPr>
        <w:br/>
      </w:r>
      <w:r w:rsidR="00CB32AC">
        <w:rPr>
          <w:rFonts w:ascii="Arial" w:hAnsi="Arial"/>
        </w:rPr>
        <w:br/>
      </w:r>
      <w:r w:rsidR="00CB32AC">
        <w:rPr>
          <w:rFonts w:ascii="Arial" w:hAnsi="Arial"/>
        </w:rPr>
        <w:br/>
      </w:r>
      <w:r w:rsidR="00CB32AC">
        <w:rPr>
          <w:rFonts w:ascii="Arial" w:hAnsi="Arial"/>
        </w:rPr>
        <w:br/>
      </w:r>
      <w:r w:rsidR="00CB32AC">
        <w:rPr>
          <w:rFonts w:ascii="Arial" w:hAnsi="Arial"/>
        </w:rPr>
        <w:br/>
      </w:r>
      <w:r w:rsidR="00CB32AC">
        <w:rPr>
          <w:rFonts w:ascii="Arial" w:hAnsi="Arial"/>
        </w:rPr>
        <w:lastRenderedPageBreak/>
        <w:br/>
      </w:r>
      <w:r w:rsidR="003E1259" w:rsidRPr="003E1259">
        <w:rPr>
          <w:b/>
          <w:sz w:val="32"/>
          <w:szCs w:val="32"/>
          <w:u w:val="single"/>
        </w:rPr>
        <w:t xml:space="preserve">Eksamen består av 9 oppgaver. </w:t>
      </w:r>
    </w:p>
    <w:p w14:paraId="43937699" w14:textId="77777777" w:rsidR="00A96E7F" w:rsidRDefault="003E1259" w:rsidP="003E1259">
      <w:pPr>
        <w:rPr>
          <w:b/>
          <w:sz w:val="32"/>
          <w:szCs w:val="32"/>
          <w:u w:val="single"/>
        </w:rPr>
      </w:pPr>
      <w:r w:rsidRPr="003E1259">
        <w:rPr>
          <w:b/>
          <w:sz w:val="32"/>
          <w:szCs w:val="32"/>
          <w:u w:val="single"/>
        </w:rPr>
        <w:t xml:space="preserve">Alle oppgaver skal besvares, men ikke alle oppgaver må være bestått for beregning av endelig karakter. </w:t>
      </w:r>
    </w:p>
    <w:p w14:paraId="1DFF9EEF" w14:textId="15B1082D" w:rsidR="003E1259" w:rsidRDefault="003E1259" w:rsidP="003E1259">
      <w:r w:rsidRPr="003E1259">
        <w:rPr>
          <w:b/>
          <w:sz w:val="32"/>
          <w:szCs w:val="32"/>
          <w:u w:val="single"/>
        </w:rPr>
        <w:t>Ved karaktersetting vektes oppgavene med den %-satsen som er oppgitt bak hver oppgave.</w:t>
      </w:r>
    </w:p>
    <w:p w14:paraId="7280FC48" w14:textId="1C79F8E4" w:rsidR="003E1259" w:rsidRDefault="003E1259" w:rsidP="003E1259"/>
    <w:p w14:paraId="0E4E12C8" w14:textId="77777777" w:rsidR="00A96E7F" w:rsidRDefault="00A96E7F" w:rsidP="003E1259"/>
    <w:p w14:paraId="45F87AA2" w14:textId="77777777" w:rsidR="00A96E7F" w:rsidRDefault="003E1259" w:rsidP="003E1259">
      <w:pPr>
        <w:rPr>
          <w:sz w:val="28"/>
        </w:rPr>
      </w:pPr>
      <w:r w:rsidRPr="003E1259">
        <w:rPr>
          <w:b/>
          <w:sz w:val="28"/>
        </w:rPr>
        <w:t>Oppgave 1.</w:t>
      </w:r>
      <w:r w:rsidRPr="003E1259">
        <w:rPr>
          <w:sz w:val="28"/>
        </w:rPr>
        <w:t xml:space="preserve"> </w:t>
      </w:r>
    </w:p>
    <w:p w14:paraId="595B3E9B" w14:textId="6B66131F" w:rsidR="003E1259" w:rsidRPr="003E1259" w:rsidRDefault="003E1259" w:rsidP="003E1259">
      <w:pPr>
        <w:rPr>
          <w:sz w:val="28"/>
        </w:rPr>
      </w:pPr>
      <w:r w:rsidRPr="003E1259">
        <w:rPr>
          <w:sz w:val="28"/>
        </w:rPr>
        <w:t>Redegjør kort for begrepet «intern validitet» og hva som kan utgjøre mulige trusler mot denne. (5%)</w:t>
      </w:r>
    </w:p>
    <w:p w14:paraId="1C7DA23E" w14:textId="291D7384" w:rsidR="003E1259" w:rsidRDefault="003E1259" w:rsidP="003E1259">
      <w:pPr>
        <w:rPr>
          <w:b/>
          <w:sz w:val="28"/>
        </w:rPr>
      </w:pPr>
    </w:p>
    <w:p w14:paraId="69E54AF8" w14:textId="77777777" w:rsidR="00A96E7F" w:rsidRPr="003E1259" w:rsidRDefault="00A96E7F" w:rsidP="003E1259">
      <w:pPr>
        <w:rPr>
          <w:b/>
          <w:sz w:val="28"/>
        </w:rPr>
      </w:pPr>
    </w:p>
    <w:p w14:paraId="60041F33" w14:textId="77777777" w:rsidR="00A96E7F" w:rsidRDefault="003E1259" w:rsidP="003E1259">
      <w:pPr>
        <w:rPr>
          <w:sz w:val="28"/>
        </w:rPr>
      </w:pPr>
      <w:r w:rsidRPr="003E1259">
        <w:rPr>
          <w:b/>
          <w:sz w:val="28"/>
        </w:rPr>
        <w:t>Oppgave 2.</w:t>
      </w:r>
      <w:r w:rsidRPr="003E1259">
        <w:rPr>
          <w:sz w:val="28"/>
        </w:rPr>
        <w:t xml:space="preserve"> </w:t>
      </w:r>
    </w:p>
    <w:p w14:paraId="0CE6F33C" w14:textId="77777777" w:rsidR="00A96E7F" w:rsidRDefault="003E1259" w:rsidP="003E1259">
      <w:pPr>
        <w:rPr>
          <w:sz w:val="28"/>
        </w:rPr>
      </w:pPr>
      <w:r w:rsidRPr="003E1259">
        <w:rPr>
          <w:sz w:val="28"/>
        </w:rPr>
        <w:t xml:space="preserve">Klargjør begrepene Type-I feil, Type-II feil og Power. </w:t>
      </w:r>
    </w:p>
    <w:p w14:paraId="1C280E04" w14:textId="77777777" w:rsidR="00A96E7F" w:rsidRDefault="003E1259" w:rsidP="003E1259">
      <w:pPr>
        <w:rPr>
          <w:sz w:val="28"/>
        </w:rPr>
      </w:pPr>
      <w:r w:rsidRPr="003E1259">
        <w:rPr>
          <w:sz w:val="28"/>
        </w:rPr>
        <w:t xml:space="preserve">Med utgangspunkt i tabellen under (Cohen, 1992), </w:t>
      </w:r>
    </w:p>
    <w:p w14:paraId="08F08C4F" w14:textId="06230FE8" w:rsidR="00A96E7F" w:rsidRPr="00A96E7F" w:rsidRDefault="003E1259" w:rsidP="00A96E7F">
      <w:pPr>
        <w:pStyle w:val="Listeavsnitt"/>
        <w:numPr>
          <w:ilvl w:val="0"/>
          <w:numId w:val="3"/>
        </w:numPr>
        <w:rPr>
          <w:sz w:val="28"/>
          <w:lang w:val="nb-NO"/>
        </w:rPr>
      </w:pPr>
      <w:r w:rsidRPr="00A96E7F">
        <w:rPr>
          <w:sz w:val="28"/>
          <w:lang w:val="nb-NO"/>
        </w:rPr>
        <w:t>hvor mange forsøkspersoner trenger man i hver gruppe for å påvise en «liten» effekt med forkastingsnivå på 1% (</w:t>
      </w:r>
      <w:r w:rsidRPr="003E1259">
        <w:sym w:font="Symbol" w:char="F061"/>
      </w:r>
      <w:r w:rsidRPr="00A96E7F">
        <w:rPr>
          <w:sz w:val="28"/>
          <w:lang w:val="nb-NO"/>
        </w:rPr>
        <w:t xml:space="preserve"> = .01) ved sammenligning av 4 grupper, </w:t>
      </w:r>
      <w:r w:rsidR="00A96E7F">
        <w:rPr>
          <w:sz w:val="28"/>
          <w:lang w:val="nb-NO"/>
        </w:rPr>
        <w:t>og</w:t>
      </w:r>
    </w:p>
    <w:p w14:paraId="1AC5E783" w14:textId="40416DC8" w:rsidR="003E1259" w:rsidRPr="00A96E7F" w:rsidRDefault="003E1259" w:rsidP="00A96E7F">
      <w:pPr>
        <w:pStyle w:val="Listeavsnitt"/>
        <w:numPr>
          <w:ilvl w:val="0"/>
          <w:numId w:val="3"/>
        </w:numPr>
        <w:rPr>
          <w:sz w:val="28"/>
        </w:rPr>
      </w:pPr>
      <w:r w:rsidRPr="00A96E7F">
        <w:rPr>
          <w:sz w:val="28"/>
          <w:lang w:val="nb-NO"/>
        </w:rPr>
        <w:t xml:space="preserve">vis man som forsker har samlet inn data fra 50 jenter og 50 gutter på en skole for å se på kjønnsforskjeller i problemløsning, vil dette antallet være tilstrekkelig for å oppnå en Power på .80, gitt et forkastingsnivå på 5% og Medium effekt? </w:t>
      </w:r>
      <w:r w:rsidRPr="00A96E7F">
        <w:rPr>
          <w:sz w:val="28"/>
        </w:rPr>
        <w:t>(5%)</w:t>
      </w:r>
    </w:p>
    <w:tbl>
      <w:tblPr>
        <w:tblW w:w="9066" w:type="dxa"/>
        <w:tblLook w:val="04A0" w:firstRow="1" w:lastRow="0" w:firstColumn="1" w:lastColumn="0" w:noHBand="0" w:noVBand="1"/>
      </w:tblPr>
      <w:tblGrid>
        <w:gridCol w:w="9282"/>
      </w:tblGrid>
      <w:tr w:rsidR="003E1259" w:rsidRPr="003E1259" w14:paraId="1F7F4D93" w14:textId="77777777" w:rsidTr="00643AA9">
        <w:tc>
          <w:tcPr>
            <w:tcW w:w="9066" w:type="dxa"/>
            <w:shd w:val="clear" w:color="auto" w:fill="auto"/>
          </w:tcPr>
          <w:p w14:paraId="0B43CDCC" w14:textId="77777777" w:rsidR="003A1EEB" w:rsidRDefault="003A1EEB" w:rsidP="003A1EEB">
            <w:pPr>
              <w:suppressAutoHyphens w:val="0"/>
              <w:autoSpaceDE w:val="0"/>
              <w:adjustRightInd w:val="0"/>
              <w:textAlignment w:val="auto"/>
              <w:rPr>
                <w:rFonts w:ascii="Calibri-Bold" w:hAnsi="Calibri-Bold" w:cs="Calibri-Bold"/>
                <w:b/>
                <w:bCs/>
                <w:color w:val="000000"/>
                <w:szCs w:val="24"/>
              </w:rPr>
            </w:pPr>
            <w:r>
              <w:rPr>
                <w:sz w:val="28"/>
              </w:rPr>
              <w:br/>
            </w:r>
            <w:r>
              <w:rPr>
                <w:sz w:val="28"/>
              </w:rPr>
              <w:br/>
              <w:t>Sensorveiledning:</w:t>
            </w:r>
            <w:r>
              <w:rPr>
                <w:sz w:val="28"/>
              </w:rPr>
              <w:br/>
            </w:r>
            <w:r>
              <w:rPr>
                <w:sz w:val="28"/>
              </w:rPr>
              <w:br/>
            </w:r>
            <w:r>
              <w:rPr>
                <w:rFonts w:ascii="Calibri-Bold" w:hAnsi="Calibri-Bold" w:cs="Calibri-Bold"/>
                <w:b/>
                <w:bCs/>
                <w:color w:val="000000"/>
                <w:szCs w:val="24"/>
              </w:rPr>
              <w:t>Sensorveiledning PSY2022, Forskningsdesign (Våren 2018), ordinær eksamen (4 timer)</w:t>
            </w:r>
          </w:p>
          <w:p w14:paraId="433AD06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Eksamen består av 9 oppgaver. Alle oppgaver skal besvares, men ikke alle oppgaver må være</w:t>
            </w:r>
          </w:p>
          <w:p w14:paraId="425A736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bestått for beregning av endelig karakter. Ved karaktersetting vektes oppgavene med den %-</w:t>
            </w:r>
          </w:p>
          <w:p w14:paraId="230960A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satsen som er oppgitt bak hver oppgave.</w:t>
            </w:r>
          </w:p>
          <w:p w14:paraId="39CCB4C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Bold" w:hAnsi="Calibri-Bold" w:cs="Calibri-Bold"/>
                <w:b/>
                <w:bCs/>
                <w:color w:val="000000"/>
                <w:szCs w:val="24"/>
              </w:rPr>
              <w:t xml:space="preserve">Oppgave 1. </w:t>
            </w:r>
            <w:r>
              <w:rPr>
                <w:rFonts w:ascii="Calibri" w:hAnsi="Calibri" w:cs="Calibri"/>
                <w:color w:val="000000"/>
                <w:szCs w:val="24"/>
              </w:rPr>
              <w:t>Redegjør kort for begrepet «intern validitet» og hva som kan utgjøre mulige</w:t>
            </w:r>
          </w:p>
          <w:p w14:paraId="7D407AF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trusler mot denne. (5%)</w:t>
            </w:r>
          </w:p>
          <w:p w14:paraId="2DBAC19B" w14:textId="77777777" w:rsidR="003A1EEB" w:rsidRPr="003A1EEB" w:rsidRDefault="003A1EEB" w:rsidP="003A1EEB">
            <w:pPr>
              <w:suppressAutoHyphens w:val="0"/>
              <w:autoSpaceDE w:val="0"/>
              <w:adjustRightInd w:val="0"/>
              <w:textAlignment w:val="auto"/>
              <w:rPr>
                <w:rFonts w:ascii="TimesNewRomanPS-ItalicMT" w:hAnsi="TimesNewRomanPS-ItalicMT" w:cs="TimesNewRomanPS-ItalicMT"/>
                <w:i/>
                <w:iCs/>
                <w:color w:val="000000"/>
                <w:szCs w:val="24"/>
                <w:lang w:val="en-US"/>
              </w:rPr>
            </w:pPr>
            <w:r>
              <w:rPr>
                <w:rFonts w:ascii="TimesNewRomanPSMT" w:hAnsi="TimesNewRomanPSMT" w:cs="TimesNewRomanPSMT"/>
                <w:color w:val="000000"/>
                <w:szCs w:val="24"/>
              </w:rPr>
              <w:t xml:space="preserve">Relevant pensum: Richardson, P., Goodwin, A., &amp; Vine, E. (2011). </w:t>
            </w:r>
            <w:r w:rsidRPr="003A1EEB">
              <w:rPr>
                <w:rFonts w:ascii="TimesNewRomanPS-ItalicMT" w:hAnsi="TimesNewRomanPS-ItalicMT" w:cs="TimesNewRomanPS-ItalicMT"/>
                <w:i/>
                <w:iCs/>
                <w:color w:val="000000"/>
                <w:szCs w:val="24"/>
                <w:lang w:val="en-US"/>
              </w:rPr>
              <w:t>Research Methods and</w:t>
            </w:r>
          </w:p>
          <w:p w14:paraId="70A229A7"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ItalicMT" w:hAnsi="TimesNewRomanPS-ItalicMT" w:cs="TimesNewRomanPS-ItalicMT"/>
                <w:i/>
                <w:iCs/>
                <w:color w:val="000000"/>
                <w:szCs w:val="24"/>
                <w:lang w:val="en-US"/>
              </w:rPr>
              <w:t xml:space="preserve">Design in Psychology (Critical Thinking in Psychology Series). </w:t>
            </w:r>
            <w:r w:rsidRPr="003A1EEB">
              <w:rPr>
                <w:rFonts w:ascii="TimesNewRomanPSMT" w:hAnsi="TimesNewRomanPSMT" w:cs="TimesNewRomanPSMT"/>
                <w:color w:val="000000"/>
                <w:szCs w:val="24"/>
                <w:lang w:val="en-US"/>
              </w:rPr>
              <w:t>Sage. ISBN: 978-0857254696</w:t>
            </w:r>
          </w:p>
          <w:p w14:paraId="1824DD69"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Wilson, T. D., Aronson, E., &amp; Carlsmith, K. (2010). The Art of Laboratory Experimentation.</w:t>
            </w:r>
          </w:p>
          <w:p w14:paraId="594ED4CB"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 xml:space="preserve">In S. T. Fiske, D. T. Gilbert, &amp; G. Lindzey (Eds.), </w:t>
            </w:r>
            <w:r w:rsidRPr="003A1EEB">
              <w:rPr>
                <w:rFonts w:ascii="TimesNewRomanPS-ItalicMT" w:hAnsi="TimesNewRomanPS-ItalicMT" w:cs="TimesNewRomanPS-ItalicMT"/>
                <w:i/>
                <w:iCs/>
                <w:color w:val="000000"/>
                <w:szCs w:val="24"/>
                <w:lang w:val="en-US"/>
              </w:rPr>
              <w:t xml:space="preserve">Handbook of social psychology </w:t>
            </w:r>
            <w:r w:rsidRPr="003A1EEB">
              <w:rPr>
                <w:rFonts w:ascii="TimesNewRomanPSMT" w:hAnsi="TimesNewRomanPSMT" w:cs="TimesNewRomanPSMT"/>
                <w:color w:val="000000"/>
                <w:szCs w:val="24"/>
                <w:lang w:val="en-US"/>
              </w:rPr>
              <w:t>(5th ed.,</w:t>
            </w:r>
          </w:p>
          <w:p w14:paraId="40464CCF"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Vol. 1, pp. 51-81). Hoboken, NJ: John Wiley &amp; Sons, Inc.</w:t>
            </w:r>
          </w:p>
          <w:p w14:paraId="63FD6B9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Begrepet er beskrevet på sidene 9-10 og 174 i Richardson et al. (2011) og refererer til den</w:t>
            </w:r>
          </w:p>
          <w:p w14:paraId="0C15DAF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grad man kan trekke slutninger om kausalitet ved at endringer i en variabel (X–den</w:t>
            </w:r>
          </w:p>
          <w:p w14:paraId="3D7D544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lastRenderedPageBreak/>
              <w:t>uavhengige) medfører endringer i en annen (Y–den avhengige). Høy grad av intern validitet</w:t>
            </w:r>
          </w:p>
          <w:p w14:paraId="0C15E90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sikres best gjennom høy grad av eksperimentell kontroll, gjenre gjennom å isolere hva som</w:t>
            </w:r>
          </w:p>
          <w:p w14:paraId="3F9979D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til enhver tid manipuleres. Trusler mot intern validitet er gjerne at man selekterer ulike</w:t>
            </w:r>
          </w:p>
          <w:p w14:paraId="7DE45E8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grupper inn til en studie, at endringer i utfallet skyldes modning (eng. Maturation) over tid</w:t>
            </w:r>
          </w:p>
          <w:p w14:paraId="3D0B8C6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(eller at modning skjer ulike for ulike grupper i studien), endringer i måleinstrumentene,</w:t>
            </w:r>
          </w:p>
          <w:p w14:paraId="7F16352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historiske hendelser, konfunderende (eng. Confounding) variabler som ikke er målt men som</w:t>
            </w:r>
          </w:p>
          <w:p w14:paraId="12018B3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kan forklare effekten av X på Y. Det er en sammenheng mellom høyde og leseferdigheter (de</w:t>
            </w:r>
          </w:p>
          <w:p w14:paraId="604738A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som er høye leser bedre og raskere), men denne kan forklares av alder.</w:t>
            </w:r>
          </w:p>
          <w:p w14:paraId="2755B09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Bold" w:hAnsi="Calibri-Bold" w:cs="Calibri-Bold"/>
                <w:b/>
                <w:bCs/>
                <w:color w:val="000000"/>
                <w:szCs w:val="24"/>
              </w:rPr>
              <w:t xml:space="preserve">Oppgave 2. </w:t>
            </w:r>
            <w:r>
              <w:rPr>
                <w:rFonts w:ascii="Calibri" w:hAnsi="Calibri" w:cs="Calibri"/>
                <w:color w:val="000000"/>
                <w:szCs w:val="24"/>
              </w:rPr>
              <w:t>Klargjør begrepene Type-I feil, Type-II feil og Power. Med utgangspunkt i</w:t>
            </w:r>
          </w:p>
          <w:p w14:paraId="1D65759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tabellen under (Cohen, 1992), (1) hvor mange forsøkspersoner trenger man i hver gruppe for</w:t>
            </w:r>
          </w:p>
          <w:p w14:paraId="585CF3A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å påvise en «liten» effekt med forkastingsnivå på 1% (</w:t>
            </w:r>
            <w:r>
              <w:rPr>
                <w:rFonts w:ascii="SymbolMT" w:hAnsi="SymbolMT" w:cs="SymbolMT"/>
                <w:color w:val="000000"/>
                <w:szCs w:val="24"/>
              </w:rPr>
              <w:t xml:space="preserve">a </w:t>
            </w:r>
            <w:r>
              <w:rPr>
                <w:rFonts w:ascii="Calibri" w:hAnsi="Calibri" w:cs="Calibri"/>
                <w:color w:val="000000"/>
                <w:szCs w:val="24"/>
              </w:rPr>
              <w:t>= .01) ved sammenligning av 4</w:t>
            </w:r>
          </w:p>
          <w:p w14:paraId="00FD1B2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grupper, og (2) hvis man som forsker har samlet inn data fra 50 jenter og 50 gutter på en</w:t>
            </w:r>
          </w:p>
          <w:p w14:paraId="0908535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skole for å se på kjønnsforskjeller i problemløsning, vil dette antallet være tilstrekkelig for å</w:t>
            </w:r>
          </w:p>
          <w:p w14:paraId="1F71B06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oppnå en Power på .80, gitt et forkastingsnivå på 5% og Medium effekt? (5%)</w:t>
            </w:r>
          </w:p>
          <w:p w14:paraId="67887009" w14:textId="77777777" w:rsidR="003A1EEB" w:rsidRDefault="003A1EEB" w:rsidP="003A1EEB">
            <w:pPr>
              <w:suppressAutoHyphens w:val="0"/>
              <w:autoSpaceDE w:val="0"/>
              <w:adjustRightInd w:val="0"/>
              <w:textAlignment w:val="auto"/>
              <w:rPr>
                <w:rFonts w:ascii="TimesNewRomanPSMT" w:hAnsi="TimesNewRomanPSMT" w:cs="TimesNewRomanPSMT"/>
                <w:color w:val="000000"/>
                <w:szCs w:val="24"/>
              </w:rPr>
            </w:pPr>
            <w:r>
              <w:rPr>
                <w:rFonts w:ascii="TimesNewRomanPSMT" w:hAnsi="TimesNewRomanPSMT" w:cs="TimesNewRomanPSMT"/>
                <w:color w:val="000000"/>
                <w:szCs w:val="24"/>
              </w:rPr>
              <w:t>Relevant pensum: Som over, sidene 57, 152-3, 178 og Cohen (1992)</w:t>
            </w:r>
          </w:p>
          <w:p w14:paraId="783EF5F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Type-I feil handler om å forkaste nullhypotesen når den er riktig (H0 er knyttet til antakelser</w:t>
            </w:r>
          </w:p>
          <w:p w14:paraId="226E6A5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 xml:space="preserve">om populasjonen). For enkelttester settes i regelen forkastingsnivået, </w:t>
            </w:r>
            <w:r>
              <w:rPr>
                <w:rFonts w:ascii="SymbolMT" w:hAnsi="SymbolMT" w:cs="SymbolMT"/>
                <w:color w:val="000000"/>
                <w:szCs w:val="24"/>
              </w:rPr>
              <w:t xml:space="preserve">a </w:t>
            </w:r>
            <w:r>
              <w:rPr>
                <w:rFonts w:ascii="Calibri" w:hAnsi="Calibri" w:cs="Calibri"/>
                <w:color w:val="000000"/>
                <w:szCs w:val="24"/>
              </w:rPr>
              <w:t>til 5%, men ved flere</w:t>
            </w:r>
          </w:p>
          <w:p w14:paraId="00F3014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tester nedjusteres dette for å unngå denne type feil. Type-II feil (</w:t>
            </w:r>
            <w:r>
              <w:rPr>
                <w:rFonts w:ascii="SymbolMT" w:hAnsi="SymbolMT" w:cs="SymbolMT"/>
                <w:color w:val="000000"/>
                <w:szCs w:val="24"/>
              </w:rPr>
              <w:t>b</w:t>
            </w:r>
            <w:r>
              <w:rPr>
                <w:rFonts w:ascii="Calibri" w:hAnsi="Calibri" w:cs="Calibri"/>
                <w:color w:val="000000"/>
                <w:szCs w:val="24"/>
              </w:rPr>
              <w:t>) handler om</w:t>
            </w:r>
          </w:p>
          <w:p w14:paraId="05858B1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sannsynligheten for feilaktig å beholde H0 når det faktisk er feil (det er en effekt i</w:t>
            </w:r>
          </w:p>
          <w:p w14:paraId="6F35B9F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 xml:space="preserve">populasjonen, men testen klarer ikke avdekke denne). Power (1 – </w:t>
            </w:r>
            <w:r>
              <w:rPr>
                <w:rFonts w:ascii="SymbolMT" w:hAnsi="SymbolMT" w:cs="SymbolMT"/>
                <w:color w:val="000000"/>
                <w:szCs w:val="24"/>
              </w:rPr>
              <w:t>b</w:t>
            </w:r>
            <w:r>
              <w:rPr>
                <w:rFonts w:ascii="Calibri" w:hAnsi="Calibri" w:cs="Calibri"/>
                <w:color w:val="000000"/>
                <w:szCs w:val="24"/>
              </w:rPr>
              <w:t>) er sannsynligheten for å</w:t>
            </w:r>
          </w:p>
          <w:p w14:paraId="7B2BF81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unngå type-II feil, dvs. sannsynligheten for å forkaste H0 når denne er feil.</w:t>
            </w:r>
          </w:p>
          <w:p w14:paraId="60D8EC75"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I tabellen gjengitt i oppgavesettet kan man lese ut at man trenger 388 i hver gruppe</w:t>
            </w:r>
          </w:p>
          <w:p w14:paraId="7CF4329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 xml:space="preserve">(tilsammen 1552) får å avdekke en liten effekt mellom 4 testede grupper med </w:t>
            </w:r>
            <w:r>
              <w:rPr>
                <w:rFonts w:ascii="SymbolMT" w:hAnsi="SymbolMT" w:cs="SymbolMT"/>
                <w:color w:val="000000"/>
                <w:szCs w:val="24"/>
              </w:rPr>
              <w:t xml:space="preserve">a </w:t>
            </w:r>
            <w:r>
              <w:rPr>
                <w:rFonts w:ascii="Calibri" w:hAnsi="Calibri" w:cs="Calibri"/>
                <w:color w:val="000000"/>
                <w:szCs w:val="24"/>
              </w:rPr>
              <w:t>= .01 og</w:t>
            </w:r>
          </w:p>
          <w:p w14:paraId="3F4504B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 xml:space="preserve">power </w:t>
            </w:r>
            <w:proofErr w:type="gramStart"/>
            <w:r>
              <w:rPr>
                <w:rFonts w:ascii="Calibri" w:hAnsi="Calibri" w:cs="Calibri"/>
                <w:color w:val="000000"/>
                <w:szCs w:val="24"/>
              </w:rPr>
              <w:t>= .</w:t>
            </w:r>
            <w:proofErr w:type="gramEnd"/>
            <w:r>
              <w:rPr>
                <w:rFonts w:ascii="Calibri" w:hAnsi="Calibri" w:cs="Calibri"/>
                <w:color w:val="000000"/>
                <w:szCs w:val="24"/>
              </w:rPr>
              <w:t>80.</w:t>
            </w:r>
          </w:p>
          <w:p w14:paraId="55D3067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50 jenter og 50 gutter vil IKKE være tilstrekkelig for å påvise kjønnsforskjeller i</w:t>
            </w:r>
          </w:p>
          <w:p w14:paraId="1BAB2A1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problemløsning (n = 64 i hver gruppe).</w:t>
            </w:r>
          </w:p>
          <w:p w14:paraId="1079A22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Bold" w:hAnsi="Calibri-Bold" w:cs="Calibri-Bold"/>
                <w:b/>
                <w:bCs/>
                <w:color w:val="000000"/>
                <w:szCs w:val="24"/>
              </w:rPr>
              <w:t xml:space="preserve">Oppgave 3. </w:t>
            </w:r>
            <w:r>
              <w:rPr>
                <w:rFonts w:ascii="Calibri" w:hAnsi="Calibri" w:cs="Calibri"/>
                <w:color w:val="000000"/>
                <w:szCs w:val="24"/>
              </w:rPr>
              <w:t>Tenk deg at du skal undersøke eksperimentelt effekten av å trene to grupper</w:t>
            </w:r>
          </w:p>
          <w:p w14:paraId="254F3D3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forsøkspersoner i problemløsing. Den ene gruppen består av musikere og billedkunstnere,</w:t>
            </w:r>
          </w:p>
          <w:p w14:paraId="6BEC288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den ande av ingeniører og forskere. Forklar hvordan du vil designe eksperimentet for kunne</w:t>
            </w:r>
          </w:p>
          <w:p w14:paraId="5DDC33D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påvise en eksperimentell effekt hos begge gruppene med tanke på at de i utgangspunkt har</w:t>
            </w:r>
          </w:p>
          <w:p w14:paraId="63BE775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ganske ulike problemløsningsferdigheter. (10%)</w:t>
            </w:r>
          </w:p>
          <w:p w14:paraId="1CF4CDC0" w14:textId="77777777" w:rsidR="003A1EEB" w:rsidRDefault="003A1EEB" w:rsidP="003A1EEB">
            <w:pPr>
              <w:suppressAutoHyphens w:val="0"/>
              <w:autoSpaceDE w:val="0"/>
              <w:adjustRightInd w:val="0"/>
              <w:textAlignment w:val="auto"/>
              <w:rPr>
                <w:rFonts w:ascii="TimesNewRomanPSMT" w:hAnsi="TimesNewRomanPSMT" w:cs="TimesNewRomanPSMT"/>
                <w:color w:val="000000"/>
                <w:szCs w:val="24"/>
              </w:rPr>
            </w:pPr>
            <w:r>
              <w:rPr>
                <w:rFonts w:ascii="TimesNewRomanPSMT" w:hAnsi="TimesNewRomanPSMT" w:cs="TimesNewRomanPSMT"/>
                <w:color w:val="000000"/>
                <w:szCs w:val="24"/>
              </w:rPr>
              <w:t>Relevant pensum: Richardson, P., Goodwin, A., &amp; Vine, E. (2011), Kap 4.</w:t>
            </w:r>
          </w:p>
          <w:p w14:paraId="7685F85E"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Wilson, T. D., Aronson, E., &amp; Carlsmith, K. (2010)</w:t>
            </w:r>
          </w:p>
          <w:p w14:paraId="0C96222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Utfordringen i dette eksperimentet er at de to gruppene forsøkspersoner i utgangspunktet</w:t>
            </w:r>
          </w:p>
          <w:p w14:paraId="76A8797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er ulike. Innenfor hver gruppe må de fordeles tilfeldig på eksperiment- og kontrollbetingelse.</w:t>
            </w:r>
          </w:p>
          <w:p w14:paraId="3847F75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Dette skal i utgangspunktet sikre at de er like. Gitt at begge gruppene gjennomgår samme</w:t>
            </w:r>
          </w:p>
          <w:p w14:paraId="3BE96275"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type trening (manipulasjon) kan man enten (1) teste eksperiment mot kontrollgruppene</w:t>
            </w:r>
          </w:p>
          <w:p w14:paraId="0372FAC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etter manipulasjon, eller (2) teste alle forsøkspersonene både før og etter manipulasjon. Det</w:t>
            </w:r>
          </w:p>
          <w:p w14:paraId="6D0B305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siste gir bedre kontroll på treningseffekten, da man kan kontrollere statistisk for eventuelle</w:t>
            </w:r>
          </w:p>
          <w:p w14:paraId="614AF64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forskjeller mellom gruppene før manipulasjon (på tross av tilfeldig tildeling av gruppe).</w:t>
            </w:r>
          </w:p>
          <w:p w14:paraId="13D6551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Begge design gir mulighet til å sammenligne en bestemt treningseffekt for to ulike</w:t>
            </w:r>
          </w:p>
          <w:p w14:paraId="208A0FC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yrkesgrupper, men gir ikke et endelig svar på om det er spesifikke typer trening som er</w:t>
            </w:r>
          </w:p>
          <w:p w14:paraId="6B8CB57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optimale for hhv. Musikere og ingeniører (eller undergrupper av disse).</w:t>
            </w:r>
          </w:p>
          <w:p w14:paraId="1019699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Bold" w:hAnsi="Calibri-Bold" w:cs="Calibri-Bold"/>
                <w:b/>
                <w:bCs/>
                <w:color w:val="000000"/>
                <w:szCs w:val="24"/>
              </w:rPr>
              <w:t xml:space="preserve">Oppgave 4. </w:t>
            </w:r>
            <w:r>
              <w:rPr>
                <w:rFonts w:ascii="Calibri" w:hAnsi="Calibri" w:cs="Calibri"/>
                <w:color w:val="000000"/>
                <w:szCs w:val="24"/>
              </w:rPr>
              <w:t>I eksperimenter hvor deltakernes responser blir målt i flere ulike betingelser</w:t>
            </w:r>
          </w:p>
          <w:p w14:paraId="39F4D93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(Eng: within-participants design) kan man oppleve at de stadig gjør det bedre og</w:t>
            </w:r>
          </w:p>
          <w:p w14:paraId="013EDE05"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responderer raskere i senere betingelser i forhold til tidligere betingelser. Forklar kort</w:t>
            </w:r>
          </w:p>
          <w:p w14:paraId="63D805A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hvordan man kan motvirke en slik effekt. (5%)</w:t>
            </w:r>
          </w:p>
          <w:p w14:paraId="715E05CD" w14:textId="77777777" w:rsidR="003A1EEB" w:rsidRDefault="003A1EEB" w:rsidP="003A1EEB">
            <w:pPr>
              <w:suppressAutoHyphens w:val="0"/>
              <w:autoSpaceDE w:val="0"/>
              <w:adjustRightInd w:val="0"/>
              <w:textAlignment w:val="auto"/>
              <w:rPr>
                <w:rFonts w:ascii="TimesNewRomanPSMT" w:hAnsi="TimesNewRomanPSMT" w:cs="TimesNewRomanPSMT"/>
                <w:color w:val="000000"/>
                <w:szCs w:val="24"/>
              </w:rPr>
            </w:pPr>
            <w:r>
              <w:rPr>
                <w:rFonts w:ascii="TimesNewRomanPSMT" w:hAnsi="TimesNewRomanPSMT" w:cs="TimesNewRomanPSMT"/>
                <w:color w:val="000000"/>
                <w:szCs w:val="24"/>
              </w:rPr>
              <w:lastRenderedPageBreak/>
              <w:t>Relevant pensum: Richardson, P., Goodwin, A., &amp; Vine, E. (2011), sidene 56-7.</w:t>
            </w:r>
          </w:p>
          <w:p w14:paraId="3F1173DF"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Stikkordet her er balansert «Latin-squares design», counterbalancing, hvor deltakerne bli</w:t>
            </w:r>
          </w:p>
          <w:p w14:paraId="1B97092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eksponert for en av flere tilfeldige sekvenser av betingelser. ABCD, BDAC, CADB eller DCBA.</w:t>
            </w:r>
          </w:p>
          <w:p w14:paraId="0C47008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Disse fire sekvensene sikrer at såkalt carry-over effekter ikke påvirker dataene systematisk.</w:t>
            </w:r>
          </w:p>
          <w:p w14:paraId="1AEBE8F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Bold" w:hAnsi="Calibri-Bold" w:cs="Calibri-Bold"/>
                <w:b/>
                <w:bCs/>
                <w:color w:val="000000"/>
                <w:szCs w:val="24"/>
              </w:rPr>
              <w:t xml:space="preserve">Oppgave 5. </w:t>
            </w:r>
            <w:r>
              <w:rPr>
                <w:rFonts w:ascii="Calibri" w:hAnsi="Calibri" w:cs="Calibri"/>
                <w:color w:val="000000"/>
                <w:szCs w:val="24"/>
              </w:rPr>
              <w:t>Du skal konstruere et mindre spørreskjema som måler tilfredshet innenfor flere</w:t>
            </w:r>
          </w:p>
          <w:p w14:paraId="67557F8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domener/områder i deltakernes liv. Hva bør du ta hensyn til når du formulerer og</w:t>
            </w:r>
          </w:p>
          <w:p w14:paraId="560B686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presenterer spørsmålene for et utvalg respondenter? Begrunn svaret ditt med henvisning til</w:t>
            </w:r>
          </w:p>
          <w:p w14:paraId="0EB09D32"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empiri. (5%)</w:t>
            </w:r>
          </w:p>
          <w:p w14:paraId="288B4AFA"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Relevant pensum: Schwarz, N., Groves, R. M., &amp; Schuman, H. (1998). Survey methods. In D.</w:t>
            </w:r>
          </w:p>
          <w:p w14:paraId="02C81B10"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 xml:space="preserve">T. Gilbert, S. T. Fiske, &amp; G. Lindzey (Eds.), </w:t>
            </w:r>
            <w:r w:rsidRPr="003A1EEB">
              <w:rPr>
                <w:rFonts w:ascii="TimesNewRomanPS-ItalicMT" w:hAnsi="TimesNewRomanPS-ItalicMT" w:cs="TimesNewRomanPS-ItalicMT"/>
                <w:i/>
                <w:iCs/>
                <w:color w:val="000000"/>
                <w:szCs w:val="24"/>
                <w:lang w:val="en-US"/>
              </w:rPr>
              <w:t xml:space="preserve">The handbook of social psychology </w:t>
            </w:r>
            <w:r w:rsidRPr="003A1EEB">
              <w:rPr>
                <w:rFonts w:ascii="TimesNewRomanPSMT" w:hAnsi="TimesNewRomanPSMT" w:cs="TimesNewRomanPSMT"/>
                <w:color w:val="000000"/>
                <w:szCs w:val="24"/>
                <w:lang w:val="en-US"/>
              </w:rPr>
              <w:t>(4th ed., Vol.</w:t>
            </w:r>
          </w:p>
          <w:p w14:paraId="51C2D7CE"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1, pp. 143-179). Boston, MA: The McGraw-Hill Companies, Inc.</w:t>
            </w:r>
          </w:p>
          <w:p w14:paraId="3ADDCD02"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de-DE"/>
              </w:rPr>
              <w:t xml:space="preserve">Schwarz, N., Knäuper, B., Oyserman, D., &amp; Stich, C. (2008). </w:t>
            </w:r>
            <w:r w:rsidRPr="003A1EEB">
              <w:rPr>
                <w:rFonts w:ascii="TimesNewRomanPSMT" w:hAnsi="TimesNewRomanPSMT" w:cs="TimesNewRomanPSMT"/>
                <w:color w:val="000000"/>
                <w:szCs w:val="24"/>
                <w:lang w:val="en-US"/>
              </w:rPr>
              <w:t>The psychology of asking</w:t>
            </w:r>
          </w:p>
          <w:p w14:paraId="6A0EA808" w14:textId="77777777" w:rsidR="003A1EEB" w:rsidRPr="003A1EEB" w:rsidRDefault="003A1EEB" w:rsidP="003A1EEB">
            <w:pPr>
              <w:suppressAutoHyphens w:val="0"/>
              <w:autoSpaceDE w:val="0"/>
              <w:adjustRightInd w:val="0"/>
              <w:textAlignment w:val="auto"/>
              <w:rPr>
                <w:rFonts w:ascii="TimesNewRomanPS-ItalicMT" w:hAnsi="TimesNewRomanPS-ItalicMT" w:cs="TimesNewRomanPS-ItalicMT"/>
                <w:i/>
                <w:iCs/>
                <w:color w:val="000000"/>
                <w:szCs w:val="24"/>
                <w:lang w:val="en-US"/>
              </w:rPr>
            </w:pPr>
            <w:r w:rsidRPr="003A1EEB">
              <w:rPr>
                <w:rFonts w:ascii="TimesNewRomanPSMT" w:hAnsi="TimesNewRomanPSMT" w:cs="TimesNewRomanPSMT"/>
                <w:color w:val="000000"/>
                <w:szCs w:val="24"/>
                <w:lang w:val="en-US"/>
              </w:rPr>
              <w:t xml:space="preserve">questions. In E. de Leeuw &amp; J. Hox (Eds.), </w:t>
            </w:r>
            <w:r w:rsidRPr="003A1EEB">
              <w:rPr>
                <w:rFonts w:ascii="TimesNewRomanPS-ItalicMT" w:hAnsi="TimesNewRomanPS-ItalicMT" w:cs="TimesNewRomanPS-ItalicMT"/>
                <w:i/>
                <w:iCs/>
                <w:color w:val="000000"/>
                <w:szCs w:val="24"/>
                <w:lang w:val="en-US"/>
              </w:rPr>
              <w:t>International handbook of survey methodology</w:t>
            </w:r>
          </w:p>
          <w:p w14:paraId="4F5120BC" w14:textId="77777777" w:rsidR="003A1EEB" w:rsidRDefault="003A1EEB" w:rsidP="003A1EEB">
            <w:pPr>
              <w:suppressAutoHyphens w:val="0"/>
              <w:autoSpaceDE w:val="0"/>
              <w:adjustRightInd w:val="0"/>
              <w:textAlignment w:val="auto"/>
              <w:rPr>
                <w:rFonts w:ascii="TimesNewRomanPSMT" w:hAnsi="TimesNewRomanPSMT" w:cs="TimesNewRomanPSMT"/>
                <w:color w:val="000000"/>
                <w:szCs w:val="24"/>
              </w:rPr>
            </w:pPr>
            <w:r>
              <w:rPr>
                <w:rFonts w:ascii="TimesNewRomanPSMT" w:hAnsi="TimesNewRomanPSMT" w:cs="TimesNewRomanPSMT"/>
                <w:color w:val="000000"/>
                <w:szCs w:val="24"/>
              </w:rPr>
              <w:t>(pp. 18-34): Taylor &amp; Francis.</w:t>
            </w:r>
          </w:p>
          <w:p w14:paraId="7661A05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Dette handler om rekkefølgeeffekter ved holdningsmåling, ulike typer kontekstuelle effekter</w:t>
            </w:r>
          </w:p>
          <w:p w14:paraId="1A52085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og konversasjonsnormer (blant annet sidene. 160-165 i Schwarz, 1998). En kjent studie av</w:t>
            </w:r>
          </w:p>
          <w:p w14:paraId="5816FBD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Schwarz et al. (1991) viste at m man stilte et spesifikk spørsmål om tilfredshet ved ens</w:t>
            </w:r>
          </w:p>
          <w:p w14:paraId="04C8928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ekteskap først og deretter et mer generelt spørsmål om tilfredshet med livet i sin</w:t>
            </w:r>
          </w:p>
          <w:p w14:paraId="1DAAA8C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alminnelighet oppnådde man en svært høye korrelasjon. Deltakerne syntes å trekke inn</w:t>
            </w:r>
          </w:p>
          <w:p w14:paraId="3718A7D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(assimilere) informasjon fra det første spørsmålet (spesifikk) i svaret på det andre (generell).</w:t>
            </w:r>
          </w:p>
          <w:p w14:paraId="47EABD2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Dersom man snudde om på rekkefølgen av disse to, eller instruerte deltakerne om at man</w:t>
            </w:r>
          </w:p>
          <w:p w14:paraId="1366DB1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ville komme til å få to adskilte spørsmål om ekteskapet og om livet forøvrig, sank</w:t>
            </w:r>
          </w:p>
          <w:p w14:paraId="6BF06A2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korrelasjonen mellom disse betydelig. Hvis man som forsker ikke er klar over slike effekter vil</w:t>
            </w:r>
          </w:p>
          <w:p w14:paraId="0125681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man kunne trekke helt ulike slutninger om ekteskapets betydning for hvor tilfreds man er i</w:t>
            </w:r>
          </w:p>
          <w:p w14:paraId="1316C8A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livet (stor eller liten betydning).</w:t>
            </w:r>
          </w:p>
          <w:p w14:paraId="6C1D163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Bold" w:hAnsi="Calibri-Bold" w:cs="Calibri-Bold"/>
                <w:b/>
                <w:bCs/>
                <w:color w:val="000000"/>
                <w:szCs w:val="24"/>
              </w:rPr>
              <w:t xml:space="preserve">Oppgave 6. </w:t>
            </w:r>
            <w:r>
              <w:rPr>
                <w:rFonts w:ascii="Calibri" w:hAnsi="Calibri" w:cs="Calibri"/>
                <w:color w:val="000000"/>
                <w:szCs w:val="24"/>
              </w:rPr>
              <w:t>Skisser hva som inngår i Schwarz’ (1998) «Major Components of a Survey». Ta</w:t>
            </w:r>
          </w:p>
          <w:p w14:paraId="32E96BD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gjerne utgangspunkt i en figur. (15%)</w:t>
            </w:r>
          </w:p>
          <w:p w14:paraId="3FDB2073" w14:textId="77777777" w:rsidR="003A1EEB" w:rsidRDefault="003A1EEB" w:rsidP="003A1EEB">
            <w:pPr>
              <w:suppressAutoHyphens w:val="0"/>
              <w:autoSpaceDE w:val="0"/>
              <w:adjustRightInd w:val="0"/>
              <w:textAlignment w:val="auto"/>
              <w:rPr>
                <w:rFonts w:ascii="TimesNewRomanPSMT" w:hAnsi="TimesNewRomanPSMT" w:cs="TimesNewRomanPSMT"/>
                <w:color w:val="000000"/>
                <w:szCs w:val="24"/>
              </w:rPr>
            </w:pPr>
            <w:r>
              <w:rPr>
                <w:rFonts w:ascii="TimesNewRomanPSMT" w:hAnsi="TimesNewRomanPSMT" w:cs="TimesNewRomanPSMT"/>
                <w:color w:val="000000"/>
                <w:szCs w:val="24"/>
              </w:rPr>
              <w:t>Relevant pensum: Schwarz, N., Groves, R. M., &amp; Schuman, H. (1998). Survey methods</w:t>
            </w:r>
          </w:p>
          <w:p w14:paraId="5478B39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En survey er en systematisk innsamling av data på et utvalg trukket fra en spesifisert</w:t>
            </w:r>
          </w:p>
          <w:p w14:paraId="358EA39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populasjon og gir en kvantitativ beskrivelse av en større populasjon. På bakgrunn av</w:t>
            </w:r>
          </w:p>
          <w:p w14:paraId="3C25A0E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dataanalyser kan man trekke slutninger om en populasjon på basis av analyser av et utvalg</w:t>
            </w:r>
          </w:p>
          <w:p w14:paraId="0A99C23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(slutningsstatistikk). En survey består av en rekke inter-relaterte komponenter som alle</w:t>
            </w:r>
          </w:p>
          <w:p w14:paraId="47BC6FB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begynner med et forskningsspørsmål (hva som er hensikten med en survey). På den ene</w:t>
            </w:r>
          </w:p>
          <w:p w14:paraId="231711C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siden handler det om definering, avgrensing og operasjonalisering av begreper, utforming av</w:t>
            </w:r>
          </w:p>
          <w:p w14:paraId="4712E08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konkret spørsmål, og modalitet for datainnsamling etterfulgt av en pretest (pilotering). På</w:t>
            </w:r>
          </w:p>
          <w:p w14:paraId="3A3B987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den andre siden handler det om definering av avgrensing av populasjonen som skal studere,</w:t>
            </w:r>
          </w:p>
          <w:p w14:paraId="1B54104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hva som er utvalgsrammen (de man faktisk har mulighet til å nå), og hvordan man går frem</w:t>
            </w:r>
          </w:p>
          <w:p w14:paraId="030041F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 å trekke utvalg (sampling design). Når alt dette er avklart kan man begynne innsamlingen</w:t>
            </w:r>
          </w:p>
          <w:p w14:paraId="3BF05F7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av data og gjøre anstrengelser for å oppnå høy deltakelse (svarprosent). Dataene blir</w:t>
            </w:r>
          </w:p>
          <w:p w14:paraId="0F8B99A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deretter gjenstand for editering («vasking») og koding. Man undersøker deretter om det er</w:t>
            </w:r>
          </w:p>
          <w:p w14:paraId="7991527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nødvendig med statistisk justering av skjevutvelgelse (vekting av data) før man endelig</w:t>
            </w:r>
          </w:p>
          <w:p w14:paraId="5716443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gjennomfører hovedanalysene ut fra hvilke forskningsspørsmål man opprinnelig stilte og</w:t>
            </w:r>
          </w:p>
          <w:p w14:paraId="0C433AC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lastRenderedPageBreak/>
              <w:t>rapporter de statistiske funnene.</w:t>
            </w:r>
          </w:p>
          <w:p w14:paraId="0A32035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Det er viktig at kandidaten er kjent med at det kan oppstå feil og unøyaktigheter innenfor</w:t>
            </w:r>
          </w:p>
          <w:p w14:paraId="3BB6D26F"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alle disse «elementene», jfr. «the total survey error perspective» og gi konkrete eksempler</w:t>
            </w:r>
          </w:p>
          <w:p w14:paraId="6FB3BE25"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på dette. En type modalitet (intervju ansikt-til-ansikt) byr på andre utfordringer enn f.eks.</w:t>
            </w:r>
          </w:p>
          <w:p w14:paraId="5D9278C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spørreskjema på papir eller elektronisk/nettbasert besvarelse av spørreskjema, og</w:t>
            </w:r>
          </w:p>
          <w:p w14:paraId="572FE3A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sannsynlighetsutvalg gir helt andre muligheter for å trekke slutninger enn</w:t>
            </w:r>
          </w:p>
          <w:p w14:paraId="633C449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bekvemmelighetsutvalg. All form for diskusjon omkring styrker og ulemper ved valg styrker</w:t>
            </w:r>
          </w:p>
          <w:p w14:paraId="1A20626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besvarelsen.</w:t>
            </w:r>
          </w:p>
          <w:p w14:paraId="676B9B1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Bold" w:hAnsi="Calibri-Bold" w:cs="Calibri-Bold"/>
                <w:b/>
                <w:bCs/>
                <w:color w:val="000000"/>
                <w:szCs w:val="24"/>
              </w:rPr>
              <w:t xml:space="preserve">Oppgave 7. </w:t>
            </w:r>
            <w:r>
              <w:rPr>
                <w:rFonts w:ascii="Calibri" w:hAnsi="Calibri" w:cs="Calibri"/>
                <w:color w:val="000000"/>
                <w:szCs w:val="24"/>
              </w:rPr>
              <w:t>Hva handler den såkalte «reproduksjonskrisen» i psykologisk forskning om?</w:t>
            </w:r>
          </w:p>
          <w:p w14:paraId="262A093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Diskuter hvor stort er dette problemet for ulike deler av psykologien (15%)</w:t>
            </w:r>
          </w:p>
          <w:p w14:paraId="35AF60FD"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Relevant pensum: Open Science Collaboration. (2015). Estimating the reproducibility of</w:t>
            </w:r>
          </w:p>
          <w:p w14:paraId="242888A1"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fr-FR"/>
              </w:rPr>
            </w:pPr>
            <w:r w:rsidRPr="003A1EEB">
              <w:rPr>
                <w:rFonts w:ascii="TimesNewRomanPSMT" w:hAnsi="TimesNewRomanPSMT" w:cs="TimesNewRomanPSMT"/>
                <w:color w:val="000000"/>
                <w:szCs w:val="24"/>
                <w:lang w:val="fr-FR"/>
              </w:rPr>
              <w:t xml:space="preserve">psychological science. </w:t>
            </w:r>
            <w:r w:rsidRPr="003A1EEB">
              <w:rPr>
                <w:rFonts w:ascii="TimesNewRomanPS-ItalicMT" w:hAnsi="TimesNewRomanPS-ItalicMT" w:cs="TimesNewRomanPS-ItalicMT"/>
                <w:i/>
                <w:iCs/>
                <w:color w:val="000000"/>
                <w:szCs w:val="24"/>
                <w:lang w:val="fr-FR"/>
              </w:rPr>
              <w:t>Science, 349</w:t>
            </w:r>
            <w:r w:rsidRPr="003A1EEB">
              <w:rPr>
                <w:rFonts w:ascii="TimesNewRomanPSMT" w:hAnsi="TimesNewRomanPSMT" w:cs="TimesNewRomanPSMT"/>
                <w:color w:val="000000"/>
                <w:szCs w:val="24"/>
                <w:lang w:val="fr-FR"/>
              </w:rPr>
              <w:t>(6251). doi:10.1126/science.aac4716</w:t>
            </w:r>
          </w:p>
          <w:p w14:paraId="420E3D3D"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Earp, B. D., &amp; Trafimow, D. (2015). Replication, falsification, and the crisis of confidence in</w:t>
            </w:r>
          </w:p>
          <w:p w14:paraId="37502234"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fr-FR"/>
              </w:rPr>
            </w:pPr>
            <w:r w:rsidRPr="003A1EEB">
              <w:rPr>
                <w:rFonts w:ascii="TimesNewRomanPSMT" w:hAnsi="TimesNewRomanPSMT" w:cs="TimesNewRomanPSMT"/>
                <w:color w:val="000000"/>
                <w:szCs w:val="24"/>
                <w:lang w:val="fr-FR"/>
              </w:rPr>
              <w:t xml:space="preserve">social psychology. </w:t>
            </w:r>
            <w:r w:rsidRPr="003A1EEB">
              <w:rPr>
                <w:rFonts w:ascii="TimesNewRomanPS-ItalicMT" w:hAnsi="TimesNewRomanPS-ItalicMT" w:cs="TimesNewRomanPS-ItalicMT"/>
                <w:i/>
                <w:iCs/>
                <w:color w:val="000000"/>
                <w:szCs w:val="24"/>
                <w:lang w:val="fr-FR"/>
              </w:rPr>
              <w:t>Frontiers in Psychology, 6</w:t>
            </w:r>
            <w:r w:rsidRPr="003A1EEB">
              <w:rPr>
                <w:rFonts w:ascii="TimesNewRomanPSMT" w:hAnsi="TimesNewRomanPSMT" w:cs="TimesNewRomanPSMT"/>
                <w:color w:val="000000"/>
                <w:szCs w:val="24"/>
                <w:lang w:val="fr-FR"/>
              </w:rPr>
              <w:t>(621). doi:10.3389/fpsyg.2015.00621</w:t>
            </w:r>
          </w:p>
          <w:p w14:paraId="183D04F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Replikasjoner utgjør selve «skillemynten» i vitenskapen og er et kjernepunkt innen empirisk</w:t>
            </w:r>
          </w:p>
          <w:p w14:paraId="77F3B2D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vitenskap. Om noe er replikerbart utgjør kriteriet for skillelinjen mellom vitenskap og ikkevitenskap.</w:t>
            </w:r>
          </w:p>
          <w:p w14:paraId="5B21F19F"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Forskning handler om å gjør det samme om igjen (eng. research). En replikasjon</w:t>
            </w:r>
          </w:p>
          <w:p w14:paraId="403F4E15"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innebærer at alle metodiske aspekter er reprodusert (utvelgelse, prosedyre, manipulasjoner,</w:t>
            </w:r>
          </w:p>
          <w:p w14:paraId="57A355F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materiale/måle-instrumenter, m.m.). Dette sikres best ved at originalforfatteren gjør dette</w:t>
            </w:r>
          </w:p>
          <w:p w14:paraId="3026CD5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tilgjengelig og kan kommentere på evt. justeringer. Ofte vil replikasjoner preregistreres.</w:t>
            </w:r>
          </w:p>
          <w:p w14:paraId="5BA1255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Reproduksjonskrisen i psykologisk forskning handler om at funnene fra flere av de mer</w:t>
            </w:r>
          </w:p>
          <w:p w14:paraId="5021D85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kjente studiene innenfor sosial- og kognitiv psykologi ikke er blitt reprodusert i senere</w:t>
            </w:r>
          </w:p>
          <w:p w14:paraId="3D76414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studier. Open Science Collaboration (OSC; ledet av Nosek) er et forskningsprosjekt hvor man</w:t>
            </w:r>
          </w:p>
          <w:p w14:paraId="7CB2097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systematisk forsøkte å reprodusere funnene fra 100 studier fra tre høyt rangerte tidsskrifter</w:t>
            </w:r>
          </w:p>
          <w:p w14:paraId="5521220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(første nummer i 2008 ble tilfeldig valgt). Kun 35 av de 97 signifikante effektene (36%) ble</w:t>
            </w:r>
          </w:p>
          <w:p w14:paraId="7323F2B5"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reprodusert. Innenfor sosialpsykologien var det kun 25% av funnene som lot seg</w:t>
            </w:r>
          </w:p>
          <w:p w14:paraId="45230D7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reprodusere (50% innen kognitiv psykologi). Effektstørrelsene i replikasjonene var</w:t>
            </w:r>
          </w:p>
          <w:p w14:paraId="6CC8E7BF"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gjennomgående mye lavere enn i originalstudiene. Artikkelen til OSC og artikkelen til Earp &amp;</w:t>
            </w:r>
          </w:p>
          <w:p w14:paraId="726F6FD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Trafimow nevner flere mulige grunner til de mange manglende replikasjonene og forslår</w:t>
            </w:r>
          </w:p>
          <w:p w14:paraId="382262D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tiltak for å redusere sjansen for publisering av falske positive funn. En god besvarelse vil</w:t>
            </w:r>
          </w:p>
          <w:p w14:paraId="1A36ED4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drøfte noe av dette og diskutere hva som kan være implikasjonene av denne forskningen for</w:t>
            </w:r>
          </w:p>
          <w:p w14:paraId="4839C3D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psykologi som vitenskap.</w:t>
            </w:r>
          </w:p>
          <w:p w14:paraId="6B19E88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Bold" w:hAnsi="Calibri-Bold" w:cs="Calibri-Bold"/>
                <w:b/>
                <w:bCs/>
                <w:color w:val="000000"/>
                <w:szCs w:val="24"/>
              </w:rPr>
              <w:t xml:space="preserve">Oppgave 8. </w:t>
            </w:r>
            <w:r>
              <w:rPr>
                <w:rFonts w:ascii="Calibri" w:hAnsi="Calibri" w:cs="Calibri"/>
                <w:color w:val="000000"/>
                <w:szCs w:val="24"/>
              </w:rPr>
              <w:t>Hva innebærer såkalte «følsomme» spørsmål i surveys? Redegjør for hvilke</w:t>
            </w:r>
          </w:p>
          <w:p w14:paraId="5BFAD82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problemer som slike spørsmål kan føre med seg, og nevn minst to metoder man kan</w:t>
            </w:r>
          </w:p>
          <w:p w14:paraId="4142A708" w14:textId="77777777" w:rsidR="003A1EEB" w:rsidRPr="003A1EEB" w:rsidRDefault="003A1EEB" w:rsidP="003A1EEB">
            <w:pPr>
              <w:suppressAutoHyphens w:val="0"/>
              <w:autoSpaceDE w:val="0"/>
              <w:adjustRightInd w:val="0"/>
              <w:textAlignment w:val="auto"/>
              <w:rPr>
                <w:rFonts w:ascii="Calibri" w:hAnsi="Calibri" w:cs="Calibri"/>
                <w:color w:val="000000"/>
                <w:szCs w:val="24"/>
                <w:lang w:val="fr-FR"/>
              </w:rPr>
            </w:pPr>
            <w:r>
              <w:rPr>
                <w:rFonts w:ascii="Calibri" w:hAnsi="Calibri" w:cs="Calibri"/>
                <w:color w:val="000000"/>
                <w:szCs w:val="24"/>
              </w:rPr>
              <w:t xml:space="preserve">anvende for å unngå disse problemene. </w:t>
            </w:r>
            <w:r w:rsidRPr="003A1EEB">
              <w:rPr>
                <w:rFonts w:ascii="Calibri" w:hAnsi="Calibri" w:cs="Calibri"/>
                <w:color w:val="000000"/>
                <w:szCs w:val="24"/>
                <w:lang w:val="fr-FR"/>
              </w:rPr>
              <w:t>(20%)</w:t>
            </w:r>
          </w:p>
          <w:p w14:paraId="350EC276"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fr-FR"/>
              </w:rPr>
              <w:t xml:space="preserve">Relevant pensum: Tourangeau, R., &amp; Yan, T. (2007). </w:t>
            </w:r>
            <w:r w:rsidRPr="003A1EEB">
              <w:rPr>
                <w:rFonts w:ascii="TimesNewRomanPSMT" w:hAnsi="TimesNewRomanPSMT" w:cs="TimesNewRomanPSMT"/>
                <w:color w:val="000000"/>
                <w:szCs w:val="24"/>
                <w:lang w:val="en-US"/>
              </w:rPr>
              <w:t>Sensitive questions in surveys.</w:t>
            </w:r>
          </w:p>
          <w:p w14:paraId="1246F991"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ItalicMT" w:hAnsi="TimesNewRomanPS-ItalicMT" w:cs="TimesNewRomanPS-ItalicMT"/>
                <w:i/>
                <w:iCs/>
                <w:color w:val="000000"/>
                <w:szCs w:val="24"/>
                <w:lang w:val="en-US"/>
              </w:rPr>
              <w:t>Psychological Bulletin, 133</w:t>
            </w:r>
            <w:r w:rsidRPr="003A1EEB">
              <w:rPr>
                <w:rFonts w:ascii="TimesNewRomanPSMT" w:hAnsi="TimesNewRomanPSMT" w:cs="TimesNewRomanPSMT"/>
                <w:color w:val="000000"/>
                <w:szCs w:val="24"/>
                <w:lang w:val="en-US"/>
              </w:rPr>
              <w:t>, 859-883.</w:t>
            </w:r>
          </w:p>
          <w:p w14:paraId="47E0FB34" w14:textId="77777777" w:rsidR="003A1EEB" w:rsidRPr="003A1EEB" w:rsidRDefault="003A1EEB" w:rsidP="003A1EEB">
            <w:pPr>
              <w:suppressAutoHyphens w:val="0"/>
              <w:autoSpaceDE w:val="0"/>
              <w:adjustRightInd w:val="0"/>
              <w:textAlignment w:val="auto"/>
              <w:rPr>
                <w:rFonts w:ascii="TimesNewRomanPSMT" w:hAnsi="TimesNewRomanPSMT" w:cs="TimesNewRomanPSMT"/>
                <w:color w:val="000000"/>
                <w:szCs w:val="24"/>
                <w:lang w:val="en-US"/>
              </w:rPr>
            </w:pPr>
            <w:r w:rsidRPr="003A1EEB">
              <w:rPr>
                <w:rFonts w:ascii="TimesNewRomanPSMT" w:hAnsi="TimesNewRomanPSMT" w:cs="TimesNewRomanPSMT"/>
                <w:color w:val="000000"/>
                <w:szCs w:val="24"/>
                <w:lang w:val="en-US"/>
              </w:rPr>
              <w:t>Rudmin, F. W. (1999). Norwegian short-form of the Marlowe-Crowne Social Desirability</w:t>
            </w:r>
          </w:p>
          <w:p w14:paraId="1D11D754" w14:textId="77777777" w:rsidR="003A1EEB" w:rsidRDefault="003A1EEB" w:rsidP="003A1EEB">
            <w:pPr>
              <w:suppressAutoHyphens w:val="0"/>
              <w:autoSpaceDE w:val="0"/>
              <w:adjustRightInd w:val="0"/>
              <w:textAlignment w:val="auto"/>
              <w:rPr>
                <w:rFonts w:ascii="TimesNewRomanPSMT" w:hAnsi="TimesNewRomanPSMT" w:cs="TimesNewRomanPSMT"/>
                <w:color w:val="000000"/>
                <w:szCs w:val="24"/>
              </w:rPr>
            </w:pPr>
            <w:r>
              <w:rPr>
                <w:rFonts w:ascii="TimesNewRomanPSMT" w:hAnsi="TimesNewRomanPSMT" w:cs="TimesNewRomanPSMT"/>
                <w:color w:val="000000"/>
                <w:szCs w:val="24"/>
              </w:rPr>
              <w:t xml:space="preserve">Scale. </w:t>
            </w:r>
            <w:r>
              <w:rPr>
                <w:rFonts w:ascii="TimesNewRomanPS-ItalicMT" w:hAnsi="TimesNewRomanPS-ItalicMT" w:cs="TimesNewRomanPS-ItalicMT"/>
                <w:i/>
                <w:iCs/>
                <w:color w:val="000000"/>
                <w:szCs w:val="24"/>
              </w:rPr>
              <w:t>Scandinavian Journal of Psychology, 40</w:t>
            </w:r>
            <w:r>
              <w:rPr>
                <w:rFonts w:ascii="TimesNewRomanPSMT" w:hAnsi="TimesNewRomanPSMT" w:cs="TimesNewRomanPSMT"/>
                <w:color w:val="000000"/>
                <w:szCs w:val="24"/>
              </w:rPr>
              <w:t>, 229-233. doi:10.1111/1467-9450.00121</w:t>
            </w:r>
          </w:p>
          <w:p w14:paraId="507E786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Følsomme spørsmål omfatter en rekke fenomener som spenner fra inntekt og skatt,</w:t>
            </w:r>
          </w:p>
          <w:p w14:paraId="1EDDB47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personlig tro, seksuell legning/orientering, illegal atferd og lovbrudd, rusmiddelbruk og</w:t>
            </w:r>
          </w:p>
          <w:p w14:paraId="3A607FF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seksuell atferd, og andre ting man av ulike grunner ønsker å holde skjult. Spørsmål av denne</w:t>
            </w:r>
          </w:p>
          <w:p w14:paraId="231AC91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typen kan utløse svar som er sosialt uakseptable eller uønskede og som dermed kan bli</w:t>
            </w:r>
          </w:p>
          <w:p w14:paraId="55A0D8A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lastRenderedPageBreak/>
              <w:t>gjenstand for motivert «justering» av responsen dersom de blir stilt i en survey (redusert</w:t>
            </w:r>
          </w:p>
          <w:p w14:paraId="16A3ACE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responskvalitet). Det er dette vi vanligvis omtaler som sosialt ønskverdige svar eller</w:t>
            </w:r>
          </w:p>
          <w:p w14:paraId="202DAD0F"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inntrykksforvaltning (eng. impression management). I regelen snakker man om at deltakere i</w:t>
            </w:r>
          </w:p>
          <w:p w14:paraId="1354CB5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en survey underrapporter sosialt uønskede tanker og handlinger, men man kan også se for</w:t>
            </w:r>
          </w:p>
          <w:p w14:paraId="370915C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seg at noen deltakere «legger på» litt og overdriver atferd som de tror kan gi de status (unge</w:t>
            </w:r>
          </w:p>
          <w:p w14:paraId="729653D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menn som rapporterer om antall seksualpartnere). Andre potensielle problemer knyttet til</w:t>
            </w:r>
          </w:p>
          <w:p w14:paraId="0C1ADD9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følsomme spørsmål er manglende deltakelse i surveyen, og manglende svar på de spørsmål</w:t>
            </w:r>
          </w:p>
          <w:p w14:paraId="7DB46B3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som er av følsom natur.</w:t>
            </w:r>
          </w:p>
          <w:p w14:paraId="0D82B42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Effektene av sosialt ønskverdig rapportering kan reduseres gjennom å benytte modaliteter</w:t>
            </w:r>
          </w:p>
          <w:p w14:paraId="6A46814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som gir deltakerne følelse av økt grad av anonymitet. Metoder med nettbaserte løsninger</w:t>
            </w:r>
          </w:p>
          <w:p w14:paraId="2DDB6335"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(datamaskinassistert personlig intervju) og spesielt selvadministrert synes øke rapportering</w:t>
            </w:r>
          </w:p>
          <w:p w14:paraId="5479A1DF"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av illegal rusmiddelbruk og minske kjønnsforskjeller i antall seksualpartnere. Intervjusetting</w:t>
            </w:r>
          </w:p>
          <w:p w14:paraId="5943DC0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med tilstedeværelse av andre vil i regelen medføre underrapportering av sosial følsomme</w:t>
            </w:r>
          </w:p>
          <w:p w14:paraId="1B5BCCB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tema. Indirekte metoder for å lokke frem sensitiv informasjon kan nevnes (Random</w:t>
            </w:r>
          </w:p>
          <w:p w14:paraId="2BCA0EE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Response Technique og Bogus pipeline), samt det man omtaler som «Forgiving words» og</w:t>
            </w:r>
          </w:p>
          <w:p w14:paraId="01A9ABA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blanding av sensitive og ikke-sensitive spørsmål i et spørreskjema/intervjuguide. Man kan</w:t>
            </w:r>
          </w:p>
          <w:p w14:paraId="6529E37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 xml:space="preserve">også inkludere mål på individuelle forskjeller i </w:t>
            </w:r>
            <w:r>
              <w:rPr>
                <w:rFonts w:ascii="Calibri-Italic" w:hAnsi="Calibri-Italic" w:cs="Calibri-Italic"/>
                <w:i/>
                <w:iCs/>
                <w:color w:val="000000"/>
                <w:szCs w:val="24"/>
              </w:rPr>
              <w:t xml:space="preserve">tilbøyelighet </w:t>
            </w:r>
            <w:r>
              <w:rPr>
                <w:rFonts w:ascii="Calibri" w:hAnsi="Calibri" w:cs="Calibri"/>
                <w:color w:val="000000"/>
                <w:szCs w:val="24"/>
              </w:rPr>
              <w:t>til å svare sosialt ønskverdig [se</w:t>
            </w:r>
          </w:p>
          <w:p w14:paraId="1307BA2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Rudmin (1999) Social Desirability Scale, Norwegian short-form] med tanke på å kontrollere</w:t>
            </w:r>
          </w:p>
          <w:p w14:paraId="2A7E17E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statistisk for slike tendenser. Man vil da kunne få et «renere» estimat av effekter når det er</w:t>
            </w:r>
          </w:p>
          <w:p w14:paraId="4267E4A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tatt hensyn til sosial ønskverdig rapportering. En god besvarelse vil inneholde</w:t>
            </w:r>
          </w:p>
          <w:p w14:paraId="26BC2F3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innholdsmessige beskrivelser av i minst to av disse metodene, gjerne understøttet av</w:t>
            </w:r>
          </w:p>
          <w:p w14:paraId="1C6D1D1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empiriske funn (effektstørrelser). Drøfting av mulige kostnader (hva er praktisk</w:t>
            </w:r>
          </w:p>
          <w:p w14:paraId="2100C9D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gjennomførbart) ved bruk av enkelte av metodene vil trekke opp.</w:t>
            </w:r>
          </w:p>
          <w:p w14:paraId="364C7E4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Bold" w:hAnsi="Calibri-Bold" w:cs="Calibri-Bold"/>
                <w:b/>
                <w:bCs/>
                <w:color w:val="000000"/>
                <w:szCs w:val="24"/>
              </w:rPr>
              <w:t xml:space="preserve">Oppgave 9. </w:t>
            </w:r>
            <w:r>
              <w:rPr>
                <w:rFonts w:ascii="Calibri" w:hAnsi="Calibri" w:cs="Calibri"/>
                <w:color w:val="000000"/>
                <w:szCs w:val="24"/>
              </w:rPr>
              <w:t>Ragnhild og Rune ønsker å gjøre to studier. Hvilke forskningsetiske utfordringer</w:t>
            </w:r>
          </w:p>
          <w:p w14:paraId="2F95013F"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står de overfor, hva må de gjøre med tanke på etiske spørsmål, hvor må de eventuelt søke</w:t>
            </w:r>
          </w:p>
          <w:p w14:paraId="025DA21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eller melde inn prosjektet, og hvilket lovverk kommer til anvendelse for hver av studiene</w:t>
            </w:r>
          </w:p>
          <w:p w14:paraId="5D20C5F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nedenfor? (20%)</w:t>
            </w:r>
          </w:p>
          <w:p w14:paraId="4D568A1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SymbolMT" w:hAnsi="SymbolMT" w:cs="SymbolMT"/>
                <w:color w:val="000000"/>
                <w:szCs w:val="24"/>
              </w:rPr>
              <w:t xml:space="preserve">• </w:t>
            </w:r>
            <w:r>
              <w:rPr>
                <w:rFonts w:ascii="Calibri" w:hAnsi="Calibri" w:cs="Calibri"/>
                <w:color w:val="000000"/>
                <w:szCs w:val="24"/>
              </w:rPr>
              <w:t>Studie 1: De ønsker å forske på videopptak av barn som har sittet i avhør på</w:t>
            </w:r>
          </w:p>
          <w:p w14:paraId="0BFD6A0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Barnehusene på grunn av mistanke om vold i hjemmemiljø. De skal ikke ha</w:t>
            </w:r>
          </w:p>
          <w:p w14:paraId="13D9732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direkte informasjon fra hverken barn/foreldre/fosterforeldre.</w:t>
            </w:r>
          </w:p>
          <w:p w14:paraId="182436A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SymbolMT" w:hAnsi="SymbolMT" w:cs="SymbolMT"/>
                <w:color w:val="000000"/>
                <w:szCs w:val="24"/>
              </w:rPr>
              <w:t xml:space="preserve">• </w:t>
            </w:r>
            <w:r>
              <w:rPr>
                <w:rFonts w:ascii="Calibri" w:hAnsi="Calibri" w:cs="Calibri"/>
                <w:color w:val="000000"/>
                <w:szCs w:val="24"/>
              </w:rPr>
              <w:t>Studie 2: De ønsker å studere voksne studenters hukommelse for tidlige erfaringer</w:t>
            </w:r>
          </w:p>
          <w:p w14:paraId="40516C1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med søskenkonflikter i barndommen. De vil bruke et elektronisk spørreskjema og</w:t>
            </w:r>
          </w:p>
          <w:p w14:paraId="0EABF2B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rekruttere fra forelesninger.</w:t>
            </w:r>
          </w:p>
          <w:p w14:paraId="758B19D7" w14:textId="77777777" w:rsidR="003A1EEB" w:rsidRDefault="003A1EEB" w:rsidP="003A1EEB">
            <w:pPr>
              <w:suppressAutoHyphens w:val="0"/>
              <w:autoSpaceDE w:val="0"/>
              <w:adjustRightInd w:val="0"/>
              <w:textAlignment w:val="auto"/>
              <w:rPr>
                <w:rFonts w:ascii="TimesNewRomanPSMT" w:hAnsi="TimesNewRomanPSMT" w:cs="TimesNewRomanPSMT"/>
                <w:color w:val="000000"/>
                <w:szCs w:val="24"/>
              </w:rPr>
            </w:pPr>
            <w:r>
              <w:rPr>
                <w:rFonts w:ascii="TimesNewRomanPSMT" w:hAnsi="TimesNewRomanPSMT" w:cs="TimesNewRomanPSMT"/>
                <w:color w:val="000000"/>
                <w:szCs w:val="24"/>
              </w:rPr>
              <w:t>Relevant pensum (Denne hjemmesiden til REK inneholder en fullstendig</w:t>
            </w:r>
          </w:p>
          <w:p w14:paraId="746B3241" w14:textId="77777777" w:rsidR="003A1EEB" w:rsidRDefault="003A1EEB" w:rsidP="003A1EEB">
            <w:pPr>
              <w:suppressAutoHyphens w:val="0"/>
              <w:autoSpaceDE w:val="0"/>
              <w:adjustRightInd w:val="0"/>
              <w:textAlignment w:val="auto"/>
              <w:rPr>
                <w:rFonts w:ascii="TimesNewRomanPSMT" w:hAnsi="TimesNewRomanPSMT" w:cs="TimesNewRomanPSMT"/>
                <w:color w:val="000000"/>
                <w:szCs w:val="24"/>
              </w:rPr>
            </w:pPr>
            <w:r>
              <w:rPr>
                <w:rFonts w:ascii="TimesNewRomanPSMT" w:hAnsi="TimesNewRomanPSMT" w:cs="TimesNewRomanPSMT"/>
                <w:color w:val="000000"/>
                <w:szCs w:val="24"/>
              </w:rPr>
              <w:t>oversikt over alt relevant lovverk):</w:t>
            </w:r>
          </w:p>
          <w:p w14:paraId="4F73F035" w14:textId="77777777" w:rsidR="003A1EEB" w:rsidRDefault="003A1EEB" w:rsidP="003A1EEB">
            <w:pPr>
              <w:suppressAutoHyphens w:val="0"/>
              <w:autoSpaceDE w:val="0"/>
              <w:adjustRightInd w:val="0"/>
              <w:textAlignment w:val="auto"/>
              <w:rPr>
                <w:rFonts w:ascii="TimesNewRomanPSMT" w:hAnsi="TimesNewRomanPSMT" w:cs="TimesNewRomanPSMT"/>
                <w:color w:val="0563C2"/>
                <w:szCs w:val="24"/>
              </w:rPr>
            </w:pPr>
            <w:r>
              <w:rPr>
                <w:rFonts w:ascii="TimesNewRomanPSMT" w:hAnsi="TimesNewRomanPSMT" w:cs="TimesNewRomanPSMT"/>
                <w:color w:val="0563C2"/>
                <w:szCs w:val="24"/>
              </w:rPr>
              <w:t>https://helseforskning.etikkom.no/reglerogrutiner/loverogregler?p_dim=34770</w:t>
            </w:r>
          </w:p>
          <w:p w14:paraId="2DD30031" w14:textId="77777777" w:rsidR="003A1EEB" w:rsidRDefault="003A1EEB" w:rsidP="003A1EEB">
            <w:pPr>
              <w:suppressAutoHyphens w:val="0"/>
              <w:autoSpaceDE w:val="0"/>
              <w:adjustRightInd w:val="0"/>
              <w:textAlignment w:val="auto"/>
              <w:rPr>
                <w:rFonts w:ascii="TimesNewRomanPSMT" w:hAnsi="TimesNewRomanPSMT" w:cs="TimesNewRomanPSMT"/>
                <w:color w:val="0563C2"/>
                <w:szCs w:val="24"/>
              </w:rPr>
            </w:pPr>
            <w:r>
              <w:rPr>
                <w:rFonts w:ascii="TimesNewRomanPSMT" w:hAnsi="TimesNewRomanPSMT" w:cs="TimesNewRomanPSMT"/>
                <w:color w:val="0563C2"/>
                <w:szCs w:val="24"/>
              </w:rPr>
              <w:t>&amp;_ikbLanguageCode=n</w:t>
            </w:r>
          </w:p>
          <w:p w14:paraId="12BB109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De viktigste lovene som regulerer forskning på mennesker er helseforskningsloven og</w:t>
            </w:r>
          </w:p>
          <w:p w14:paraId="2D788B4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personopplysningsloven. Det følgende er noen prinsipper som gjelder:</w:t>
            </w:r>
          </w:p>
          <w:p w14:paraId="048430D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1. Forskningsetisk prinsipper – hensyn til personer</w:t>
            </w:r>
          </w:p>
          <w:p w14:paraId="5E532A6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Barn og unge som deltar i forskning, har særlige krav på beskyttelse</w:t>
            </w:r>
          </w:p>
          <w:p w14:paraId="378DCFD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Forskeren skal vise respekt for individets privatliv og familieliv. Informanter har krav</w:t>
            </w:r>
          </w:p>
          <w:p w14:paraId="566C181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på å kunne kontrollere om sensitiv informasjon om dem selv skal gjøres tilgjengelig</w:t>
            </w:r>
          </w:p>
          <w:p w14:paraId="0BE51D2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 andre</w:t>
            </w:r>
          </w:p>
          <w:p w14:paraId="6F9BF8C5"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Forskeren skal ikke tillegge informanter og aktører irrasjonelle eller lite aktverdige</w:t>
            </w:r>
          </w:p>
          <w:p w14:paraId="4DA37FB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motiver uten å kunne gi overbevisende dokumentasjon og begrunnelse. Forskeren</w:t>
            </w:r>
          </w:p>
          <w:p w14:paraId="1467B44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lastRenderedPageBreak/>
              <w:t>skal vise respekt for verdier og holdninger hos forskningsdeltakerne, ikke minst når</w:t>
            </w:r>
          </w:p>
          <w:p w14:paraId="697ABF2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disse avviker fra det som er mest vanlig i storsamfunnet</w:t>
            </w:r>
          </w:p>
          <w:p w14:paraId="25036AE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Identifiserbare personopplysninger innsamlet for ett bestemt forskningsformål kan</w:t>
            </w:r>
          </w:p>
          <w:p w14:paraId="0F29A4F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ikke uten videre benyttes til annen forskning.</w:t>
            </w:r>
          </w:p>
          <w:p w14:paraId="4BAA91A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Opplysninger om identifiserbare enkeltpersoner skal lagres forsvarlig. Slike</w:t>
            </w:r>
          </w:p>
          <w:p w14:paraId="69A2085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opplysninger skal ikke lagres lenger enn det som er nødvendig for å gjennomføre</w:t>
            </w:r>
          </w:p>
          <w:p w14:paraId="08278BB7"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formålet med behandlingen.</w:t>
            </w:r>
          </w:p>
          <w:p w14:paraId="70279A3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Forskeren har et ansvar for å unngå at forskningsdeltakerne blir utsatt for alvorlig</w:t>
            </w:r>
          </w:p>
          <w:p w14:paraId="3A54D6D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fysisk skade eller andre alvorlige eller urimelige belastninger.</w:t>
            </w:r>
          </w:p>
          <w:p w14:paraId="63C22D33"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Forskeren bør vurdere og foregripe virkninger på tredjepart som ikke er direkte</w:t>
            </w:r>
          </w:p>
          <w:p w14:paraId="2B4CE17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inkludert i forskningen</w:t>
            </w:r>
          </w:p>
          <w:p w14:paraId="3F73115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2. Hovedregel om samtykke</w:t>
            </w:r>
          </w:p>
          <w:p w14:paraId="3C6DE2EB"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Det kreves samtykke fra deltakere i medisinsk og helsefaglig forskning, med mindre</w:t>
            </w:r>
          </w:p>
          <w:p w14:paraId="5EA72BCF"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annet følger av lov.</w:t>
            </w:r>
          </w:p>
          <w:p w14:paraId="4E48874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Samtykket skal være informert, frivillig, uttrykkelig og dokumenterbart (skriftlig</w:t>
            </w:r>
          </w:p>
          <w:p w14:paraId="4F79A76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samtykke er hovedregelen). Samtykket skal bygge på spesifikk informasjon om et</w:t>
            </w:r>
          </w:p>
          <w:p w14:paraId="0917C54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konkret forskningsprosjekt med mindre det er adgang til å avgi et bredt samtykke.</w:t>
            </w:r>
          </w:p>
          <w:p w14:paraId="6FF80ABC"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Dersom forskningsdeltakeren kan anses å være i et avhengighetsforhold til den som</w:t>
            </w:r>
          </w:p>
          <w:p w14:paraId="19C0B54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ber om samtykke skal det informerte samtykket innhentes av en annen.</w:t>
            </w:r>
          </w:p>
          <w:p w14:paraId="10F621E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TimesNewRomanPSMT" w:hAnsi="TimesNewRomanPSMT" w:cs="TimesNewRomanPSMT"/>
                <w:color w:val="000000"/>
                <w:szCs w:val="24"/>
              </w:rPr>
              <w:t xml:space="preserve">- </w:t>
            </w:r>
            <w:r>
              <w:rPr>
                <w:rFonts w:ascii="Calibri" w:hAnsi="Calibri" w:cs="Calibri"/>
                <w:color w:val="000000"/>
                <w:szCs w:val="24"/>
              </w:rPr>
              <w:t>Barn / unge &lt; 16 år (for invasiv forskning: &lt; 18): stedfortredende samtykke, ofte</w:t>
            </w:r>
          </w:p>
          <w:p w14:paraId="4D7F89F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foreldre. Barnet skal forespørres og hvis barnet motsetter seg det, kan ikke</w:t>
            </w:r>
          </w:p>
          <w:p w14:paraId="30DC838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forskningen gjennomføres. Barn mottar eget informasjonsskriv.</w:t>
            </w:r>
          </w:p>
          <w:p w14:paraId="16AF824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I studie 1 vil det være spørsmål om innhenting av informert og aktivt samtykke fra barnas</w:t>
            </w:r>
          </w:p>
          <w:p w14:paraId="6624BCC5"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foreldre (eller stedfortredende samtykke hvis det er foreldre som er voldsutøvere). Dersom</w:t>
            </w:r>
          </w:p>
          <w:p w14:paraId="2A6AC48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barna er over 16 kan de selv gi samtykke med mindre de av andre grunner har nedsatt</w:t>
            </w:r>
          </w:p>
          <w:p w14:paraId="5D017B21"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samtykkekompetanse (særskilte grupper). Belastning for deltaker skal være vurdert. Studien</w:t>
            </w:r>
          </w:p>
          <w:p w14:paraId="1CDD7AE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omfattes av helseforskningsloven og søknad skal sendes REK.</w:t>
            </w:r>
          </w:p>
          <w:p w14:paraId="77C0C88E"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I studie 2 kan det være snakk om å ha en viss (dokumentert i informasjonsskrivet) beredskap</w:t>
            </w:r>
          </w:p>
          <w:p w14:paraId="39DAEB38"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ettersom studien stille spørsmål som kan være belastende for deltakerne og vekke vonde</w:t>
            </w:r>
          </w:p>
          <w:p w14:paraId="1E7E9219"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minner. Ved elektroniske svar blir det er spørsmål om anonymitet og hvordan</w:t>
            </w:r>
          </w:p>
          <w:p w14:paraId="78B778E2"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personidentifiserbare opplysninger oppbevares. Det kan også komme frem informasjon om</w:t>
            </w:r>
          </w:p>
          <w:p w14:paraId="31A571F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tredjeperson i skjemaet. En viss aktsomhet må utvises dersom man rekrutterer gjennom</w:t>
            </w:r>
          </w:p>
          <w:p w14:paraId="3311A796"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forelesninger, spesielt fra egne forelesninger (da man er en autoritetsperson og egne</w:t>
            </w:r>
          </w:p>
          <w:p w14:paraId="4756E854"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studenter kan stå i et avhengighetsforhold). Dersom spørreskjemaet inneholder egne</w:t>
            </w:r>
          </w:p>
          <w:p w14:paraId="6C1BB940"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spørsmål om personlighet eller helseopplysninger, eller studien er egnet til å fremskaffe ny</w:t>
            </w:r>
          </w:p>
          <w:p w14:paraId="7E9ECB2D"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kunnskap om helse, er REK riktig instans da den omfattes av helseforskningsloven. Hvis ikke</w:t>
            </w:r>
          </w:p>
          <w:p w14:paraId="2CE5722A" w14:textId="77777777" w:rsidR="003A1EEB" w:rsidRDefault="003A1EEB" w:rsidP="003A1EEB">
            <w:pPr>
              <w:suppressAutoHyphens w:val="0"/>
              <w:autoSpaceDE w:val="0"/>
              <w:adjustRightInd w:val="0"/>
              <w:textAlignment w:val="auto"/>
              <w:rPr>
                <w:rFonts w:ascii="Calibri" w:hAnsi="Calibri" w:cs="Calibri"/>
                <w:color w:val="000000"/>
                <w:szCs w:val="24"/>
              </w:rPr>
            </w:pPr>
            <w:r>
              <w:rPr>
                <w:rFonts w:ascii="Calibri" w:hAnsi="Calibri" w:cs="Calibri"/>
                <w:color w:val="000000"/>
                <w:szCs w:val="24"/>
              </w:rPr>
              <w:t>er skal den meldes til NSD, personvernombudet, da den omfattes av lov om</w:t>
            </w:r>
          </w:p>
          <w:p w14:paraId="79596FA0"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personopplysninger.</w:t>
            </w:r>
          </w:p>
          <w:p w14:paraId="771C3A11" w14:textId="77777777" w:rsidR="003A1EEB" w:rsidRPr="003A1EEB" w:rsidRDefault="003A1EEB" w:rsidP="003A1EEB">
            <w:pPr>
              <w:suppressAutoHyphens w:val="0"/>
              <w:autoSpaceDE w:val="0"/>
              <w:adjustRightInd w:val="0"/>
              <w:textAlignment w:val="auto"/>
              <w:rPr>
                <w:rFonts w:ascii="Calibri-Bold" w:hAnsi="Calibri-Bold" w:cs="Calibri-Bold"/>
                <w:b/>
                <w:bCs/>
                <w:color w:val="000000"/>
                <w:szCs w:val="24"/>
                <w:lang w:val="en-US"/>
              </w:rPr>
            </w:pPr>
            <w:r w:rsidRPr="003A1EEB">
              <w:rPr>
                <w:rFonts w:ascii="Calibri-Bold" w:hAnsi="Calibri-Bold" w:cs="Calibri-Bold"/>
                <w:b/>
                <w:bCs/>
                <w:color w:val="000000"/>
                <w:szCs w:val="24"/>
                <w:lang w:val="en-US"/>
              </w:rPr>
              <w:t>Exam PSY2022, Research Design (Spring term 2018)</w:t>
            </w:r>
          </w:p>
          <w:p w14:paraId="10ECA294"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The exam covers 9 questions. All questions need to be answered, but each need not be</w:t>
            </w:r>
          </w:p>
          <w:p w14:paraId="6125B9BE"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passed for the final grading. For the final grading, each question is weighted according to the</w:t>
            </w:r>
          </w:p>
          <w:p w14:paraId="7F538DC7"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percentage denoted in the parenthesis.</w:t>
            </w:r>
          </w:p>
          <w:p w14:paraId="437310BE"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Bold" w:hAnsi="Calibri-Bold" w:cs="Calibri-Bold"/>
                <w:b/>
                <w:bCs/>
                <w:color w:val="000000"/>
                <w:szCs w:val="24"/>
                <w:lang w:val="en-US"/>
              </w:rPr>
              <w:t xml:space="preserve">Q1. </w:t>
            </w:r>
            <w:r w:rsidRPr="003A1EEB">
              <w:rPr>
                <w:rFonts w:ascii="Calibri" w:hAnsi="Calibri" w:cs="Calibri"/>
                <w:color w:val="000000"/>
                <w:szCs w:val="24"/>
                <w:lang w:val="en-US"/>
              </w:rPr>
              <w:t>Give a short account for the concept “internal validity” and what may threaten this. (5%)</w:t>
            </w:r>
          </w:p>
          <w:p w14:paraId="30560FD5"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Bold" w:hAnsi="Calibri-Bold" w:cs="Calibri-Bold"/>
                <w:b/>
                <w:bCs/>
                <w:color w:val="000000"/>
                <w:szCs w:val="24"/>
                <w:lang w:val="en-US"/>
              </w:rPr>
              <w:t xml:space="preserve">Q2. </w:t>
            </w:r>
            <w:r w:rsidRPr="003A1EEB">
              <w:rPr>
                <w:rFonts w:ascii="Calibri" w:hAnsi="Calibri" w:cs="Calibri"/>
                <w:color w:val="000000"/>
                <w:szCs w:val="24"/>
                <w:lang w:val="en-US"/>
              </w:rPr>
              <w:t>Explain the concepts Type I Error, Type II Error, and Power. By applying the Table 2</w:t>
            </w:r>
          </w:p>
          <w:p w14:paraId="70AA2ACE"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below from Cohen (1992), (1) How many participants would you need to sample from each</w:t>
            </w:r>
          </w:p>
          <w:p w14:paraId="4B39052A"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group to demonstrate a “small” effect using significance level 1% (</w:t>
            </w:r>
            <w:r w:rsidRPr="003A1EEB">
              <w:rPr>
                <w:rFonts w:ascii="SymbolMT" w:hAnsi="SymbolMT" w:cs="SymbolMT"/>
                <w:color w:val="000000"/>
                <w:szCs w:val="24"/>
                <w:lang w:val="en-US"/>
              </w:rPr>
              <w:t xml:space="preserve">a </w:t>
            </w:r>
            <w:r w:rsidRPr="003A1EEB">
              <w:rPr>
                <w:rFonts w:ascii="Calibri" w:hAnsi="Calibri" w:cs="Calibri"/>
                <w:color w:val="000000"/>
                <w:szCs w:val="24"/>
                <w:lang w:val="en-US"/>
              </w:rPr>
              <w:t>= .01) assuming that you</w:t>
            </w:r>
          </w:p>
          <w:p w14:paraId="6587FE7D"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lastRenderedPageBreak/>
              <w:t>want to compare 4 groups, and (2) Consider a researcher who sampled data from 50 girls</w:t>
            </w:r>
          </w:p>
          <w:p w14:paraId="2D3AE045"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and 50 boys at a school to study sex differences in problem solving. Would this sample be</w:t>
            </w:r>
          </w:p>
          <w:p w14:paraId="46BA8F42"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sufficient for achieving a Power of .80, given significance level 5% and a Medium effect? (5%)</w:t>
            </w:r>
          </w:p>
          <w:p w14:paraId="7E16A8CB"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Bold" w:hAnsi="Calibri-Bold" w:cs="Calibri-Bold"/>
                <w:b/>
                <w:bCs/>
                <w:color w:val="000000"/>
                <w:szCs w:val="24"/>
                <w:lang w:val="en-US"/>
              </w:rPr>
              <w:t xml:space="preserve">Q3. </w:t>
            </w:r>
            <w:r w:rsidRPr="003A1EEB">
              <w:rPr>
                <w:rFonts w:ascii="Calibri" w:hAnsi="Calibri" w:cs="Calibri"/>
                <w:color w:val="000000"/>
                <w:szCs w:val="24"/>
                <w:lang w:val="en-US"/>
              </w:rPr>
              <w:t>Imagine that you are to examine the experimental effect of training two groups in</w:t>
            </w:r>
          </w:p>
          <w:p w14:paraId="4656816F"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problem solving skills. The first group comprises musicians and painters, the second</w:t>
            </w:r>
          </w:p>
          <w:p w14:paraId="7FB06BBE"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engineers and scientists. Explain how you would design the experiment to be able to</w:t>
            </w:r>
          </w:p>
          <w:p w14:paraId="2E2251DC"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demonstrate experimental effect in both groups considering that the participants may have</w:t>
            </w:r>
          </w:p>
          <w:p w14:paraId="75AB25E2"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different levels of problem solving skills to begin with. (10%)</w:t>
            </w:r>
          </w:p>
          <w:p w14:paraId="41D93B73"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Bold" w:hAnsi="Calibri-Bold" w:cs="Calibri-Bold"/>
                <w:b/>
                <w:bCs/>
                <w:color w:val="000000"/>
                <w:szCs w:val="24"/>
                <w:lang w:val="en-US"/>
              </w:rPr>
              <w:t xml:space="preserve">Q4. </w:t>
            </w:r>
            <w:r w:rsidRPr="003A1EEB">
              <w:rPr>
                <w:rFonts w:ascii="Calibri" w:hAnsi="Calibri" w:cs="Calibri"/>
                <w:color w:val="000000"/>
                <w:szCs w:val="24"/>
                <w:lang w:val="en-US"/>
              </w:rPr>
              <w:t>In experiments where the participants’ responses are subject to repeated measures</w:t>
            </w:r>
          </w:p>
          <w:p w14:paraId="45CA776E"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across several conditions/trials (within-participants design) one may experience that their</w:t>
            </w:r>
          </w:p>
          <w:p w14:paraId="035489D6"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response become increasingly better. Explain briefly how you can prevent such an effect</w:t>
            </w:r>
          </w:p>
          <w:p w14:paraId="5D38862C"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from occurring. (5%)</w:t>
            </w:r>
          </w:p>
          <w:p w14:paraId="5C801F00"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Bold" w:hAnsi="Calibri-Bold" w:cs="Calibri-Bold"/>
                <w:b/>
                <w:bCs/>
                <w:color w:val="000000"/>
                <w:szCs w:val="24"/>
                <w:lang w:val="en-US"/>
              </w:rPr>
              <w:t xml:space="preserve">Q5. </w:t>
            </w:r>
            <w:r w:rsidRPr="003A1EEB">
              <w:rPr>
                <w:rFonts w:ascii="Calibri" w:hAnsi="Calibri" w:cs="Calibri"/>
                <w:color w:val="000000"/>
                <w:szCs w:val="24"/>
                <w:lang w:val="en-US"/>
              </w:rPr>
              <w:t>You’re going to construct a small questionnaire for measuring satisfaction across diverse</w:t>
            </w:r>
          </w:p>
          <w:p w14:paraId="3A322BC0"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domains of people’s lives. What do you need to consider when formulating and presenting</w:t>
            </w:r>
          </w:p>
          <w:p w14:paraId="31C53C0B"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the various questions to a sample of respondents? Use empirical findings to substantiate</w:t>
            </w:r>
          </w:p>
          <w:p w14:paraId="769D3CEC"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your reply. (5%)</w:t>
            </w:r>
          </w:p>
          <w:p w14:paraId="09371C27"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Bold" w:hAnsi="Calibri-Bold" w:cs="Calibri-Bold"/>
                <w:b/>
                <w:bCs/>
                <w:color w:val="000000"/>
                <w:szCs w:val="24"/>
                <w:lang w:val="en-US"/>
              </w:rPr>
              <w:t xml:space="preserve">Q6. </w:t>
            </w:r>
            <w:r w:rsidRPr="003A1EEB">
              <w:rPr>
                <w:rFonts w:ascii="Calibri" w:hAnsi="Calibri" w:cs="Calibri"/>
                <w:color w:val="000000"/>
                <w:szCs w:val="24"/>
                <w:lang w:val="en-US"/>
              </w:rPr>
              <w:t>Make an outline of the content of the “Major Components of a Survey” from Schwarz’</w:t>
            </w:r>
          </w:p>
          <w:p w14:paraId="223FC5BB"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(1998). You may provide an illustration/diagram/figure. (15%)</w:t>
            </w:r>
          </w:p>
          <w:p w14:paraId="03916E4E"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Bold" w:hAnsi="Calibri-Bold" w:cs="Calibri-Bold"/>
                <w:b/>
                <w:bCs/>
                <w:color w:val="000000"/>
                <w:szCs w:val="24"/>
                <w:lang w:val="en-US"/>
              </w:rPr>
              <w:t xml:space="preserve">Q7. </w:t>
            </w:r>
            <w:r w:rsidRPr="003A1EEB">
              <w:rPr>
                <w:rFonts w:ascii="Calibri" w:hAnsi="Calibri" w:cs="Calibri"/>
                <w:color w:val="000000"/>
                <w:szCs w:val="24"/>
                <w:lang w:val="en-US"/>
              </w:rPr>
              <w:t>What does the «reproducibility crisis» in psychological research refer to? Discuss the</w:t>
            </w:r>
          </w:p>
          <w:p w14:paraId="7D4151DE"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magnitude of the problem in the various domains in psychology. (15%)</w:t>
            </w:r>
          </w:p>
          <w:p w14:paraId="4DEE9FF1"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Bold" w:hAnsi="Calibri-Bold" w:cs="Calibri-Bold"/>
                <w:b/>
                <w:bCs/>
                <w:color w:val="000000"/>
                <w:szCs w:val="24"/>
                <w:lang w:val="en-US"/>
              </w:rPr>
              <w:t xml:space="preserve">Q8. </w:t>
            </w:r>
            <w:r w:rsidRPr="003A1EEB">
              <w:rPr>
                <w:rFonts w:ascii="Calibri" w:hAnsi="Calibri" w:cs="Calibri"/>
                <w:color w:val="000000"/>
                <w:szCs w:val="24"/>
                <w:lang w:val="en-US"/>
              </w:rPr>
              <w:t>What does «sensitive» question in surveys refer to? Describe some consequences of the</w:t>
            </w:r>
          </w:p>
          <w:p w14:paraId="567AC8C6"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use of sensitive questions. Also, describe two methods that can be applied to avoid</w:t>
            </w:r>
          </w:p>
          <w:p w14:paraId="3F75472B"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problems related to asking sensitive questions. (20%)</w:t>
            </w:r>
          </w:p>
          <w:p w14:paraId="11382466"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Bold" w:hAnsi="Calibri-Bold" w:cs="Calibri-Bold"/>
                <w:b/>
                <w:bCs/>
                <w:color w:val="000000"/>
                <w:szCs w:val="24"/>
                <w:lang w:val="en-US"/>
              </w:rPr>
              <w:t xml:space="preserve">Q9. </w:t>
            </w:r>
            <w:r w:rsidRPr="003A1EEB">
              <w:rPr>
                <w:rFonts w:ascii="Calibri" w:hAnsi="Calibri" w:cs="Calibri"/>
                <w:color w:val="000000"/>
                <w:szCs w:val="24"/>
                <w:lang w:val="en-US"/>
              </w:rPr>
              <w:t>Rebecca and Richard want to do two studies. What ethical challenges do they face, what</w:t>
            </w:r>
          </w:p>
          <w:p w14:paraId="31D9267C"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do they need to consider with regard to ethical standards, to what authorities (if any) would</w:t>
            </w:r>
          </w:p>
          <w:p w14:paraId="72A63D2F"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they need to submit an application or register their project, and what acts of Legislation</w:t>
            </w:r>
          </w:p>
          <w:p w14:paraId="6E86219E"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would be applied in each of the studies below? (20%)</w:t>
            </w:r>
          </w:p>
          <w:p w14:paraId="2AC499D2"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SymbolMT" w:hAnsi="SymbolMT" w:cs="SymbolMT"/>
                <w:color w:val="000000"/>
                <w:szCs w:val="24"/>
                <w:lang w:val="en-US"/>
              </w:rPr>
              <w:t xml:space="preserve">• </w:t>
            </w:r>
            <w:r w:rsidRPr="003A1EEB">
              <w:rPr>
                <w:rFonts w:ascii="Calibri" w:hAnsi="Calibri" w:cs="Calibri"/>
                <w:color w:val="000000"/>
                <w:szCs w:val="24"/>
                <w:lang w:val="en-US"/>
              </w:rPr>
              <w:t>Study 1: They want to study videotapes of children who are formally interrogated at</w:t>
            </w:r>
          </w:p>
          <w:p w14:paraId="534DC4A9"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The national child care center due to suspicion of domestic violence. They do not</w:t>
            </w:r>
          </w:p>
          <w:p w14:paraId="697E6A26"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collect any direct information from neither the children nor their parents/guardians.</w:t>
            </w:r>
          </w:p>
          <w:p w14:paraId="31BB1D15"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SymbolMT" w:hAnsi="SymbolMT" w:cs="SymbolMT"/>
                <w:color w:val="000000"/>
                <w:szCs w:val="24"/>
                <w:lang w:val="en-US"/>
              </w:rPr>
              <w:t xml:space="preserve">• </w:t>
            </w:r>
            <w:r w:rsidRPr="003A1EEB">
              <w:rPr>
                <w:rFonts w:ascii="Calibri" w:hAnsi="Calibri" w:cs="Calibri"/>
                <w:color w:val="000000"/>
                <w:szCs w:val="24"/>
                <w:lang w:val="en-US"/>
              </w:rPr>
              <w:t>Study 2: They want to study adult students’ recollection of early experiences of</w:t>
            </w:r>
          </w:p>
          <w:p w14:paraId="725769F8" w14:textId="77777777" w:rsidR="003A1EEB" w:rsidRPr="003A1EEB" w:rsidRDefault="003A1EEB" w:rsidP="003A1EEB">
            <w:pPr>
              <w:suppressAutoHyphens w:val="0"/>
              <w:autoSpaceDE w:val="0"/>
              <w:adjustRightInd w:val="0"/>
              <w:textAlignment w:val="auto"/>
              <w:rPr>
                <w:rFonts w:ascii="Calibri" w:hAnsi="Calibri" w:cs="Calibri"/>
                <w:color w:val="000000"/>
                <w:szCs w:val="24"/>
                <w:lang w:val="en-US"/>
              </w:rPr>
            </w:pPr>
            <w:r w:rsidRPr="003A1EEB">
              <w:rPr>
                <w:rFonts w:ascii="Calibri" w:hAnsi="Calibri" w:cs="Calibri"/>
                <w:color w:val="000000"/>
                <w:szCs w:val="24"/>
                <w:lang w:val="en-US"/>
              </w:rPr>
              <w:t>childhood conflicts. They want to apply an electronic questionnaire and recruit their</w:t>
            </w:r>
          </w:p>
          <w:p w14:paraId="354F4EE7" w14:textId="1E8949E7" w:rsidR="003E1259" w:rsidRPr="003E1259" w:rsidRDefault="003A1EEB" w:rsidP="003A1EEB">
            <w:pPr>
              <w:rPr>
                <w:sz w:val="28"/>
              </w:rPr>
            </w:pPr>
            <w:r>
              <w:rPr>
                <w:rFonts w:ascii="Calibri" w:hAnsi="Calibri" w:cs="Calibri"/>
                <w:color w:val="000000"/>
                <w:szCs w:val="24"/>
              </w:rPr>
              <w:t>participants at lectures.</w:t>
            </w:r>
            <w:bookmarkStart w:id="1" w:name="_GoBack"/>
            <w:bookmarkEnd w:id="1"/>
          </w:p>
          <w:p w14:paraId="3E92C43E" w14:textId="77777777" w:rsidR="003E1259" w:rsidRPr="003E1259" w:rsidRDefault="003E1259" w:rsidP="00643AA9">
            <w:pPr>
              <w:rPr>
                <w:sz w:val="28"/>
              </w:rPr>
            </w:pPr>
            <w:r w:rsidRPr="003E1259">
              <w:rPr>
                <w:noProof/>
                <w:sz w:val="28"/>
              </w:rPr>
              <w:lastRenderedPageBreak/>
              <w:drawing>
                <wp:inline distT="0" distB="0" distL="0" distR="0" wp14:anchorId="145F41E8" wp14:editId="257016C8">
                  <wp:extent cx="5756910" cy="537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Cohen (1992).jpg"/>
                          <pic:cNvPicPr/>
                        </pic:nvPicPr>
                        <pic:blipFill>
                          <a:blip r:embed="rId8">
                            <a:extLst>
                              <a:ext uri="{28A0092B-C50C-407E-A947-70E740481C1C}">
                                <a14:useLocalDpi xmlns:a14="http://schemas.microsoft.com/office/drawing/2010/main" val="0"/>
                              </a:ext>
                            </a:extLst>
                          </a:blip>
                          <a:stretch>
                            <a:fillRect/>
                          </a:stretch>
                        </pic:blipFill>
                        <pic:spPr>
                          <a:xfrm>
                            <a:off x="0" y="0"/>
                            <a:ext cx="5756910" cy="5375275"/>
                          </a:xfrm>
                          <a:prstGeom prst="rect">
                            <a:avLst/>
                          </a:prstGeom>
                        </pic:spPr>
                      </pic:pic>
                    </a:graphicData>
                  </a:graphic>
                </wp:inline>
              </w:drawing>
            </w:r>
          </w:p>
        </w:tc>
      </w:tr>
    </w:tbl>
    <w:p w14:paraId="3AE2B08F" w14:textId="77777777" w:rsidR="00A96E7F" w:rsidRDefault="00A96E7F" w:rsidP="003E1259">
      <w:pPr>
        <w:rPr>
          <w:b/>
          <w:sz w:val="28"/>
        </w:rPr>
      </w:pPr>
    </w:p>
    <w:p w14:paraId="37DE6F71" w14:textId="0B3993AB" w:rsidR="00A96E7F" w:rsidRDefault="003E1259" w:rsidP="003E1259">
      <w:pPr>
        <w:rPr>
          <w:sz w:val="28"/>
        </w:rPr>
      </w:pPr>
      <w:r w:rsidRPr="003E1259">
        <w:rPr>
          <w:b/>
          <w:sz w:val="28"/>
        </w:rPr>
        <w:t>Oppgave 3.</w:t>
      </w:r>
      <w:r w:rsidRPr="003E1259">
        <w:rPr>
          <w:sz w:val="28"/>
        </w:rPr>
        <w:t xml:space="preserve"> </w:t>
      </w:r>
    </w:p>
    <w:p w14:paraId="71E796A7" w14:textId="77777777" w:rsidR="00A96E7F" w:rsidRDefault="003E1259" w:rsidP="003E1259">
      <w:pPr>
        <w:rPr>
          <w:sz w:val="28"/>
        </w:rPr>
      </w:pPr>
      <w:r w:rsidRPr="003E1259">
        <w:rPr>
          <w:sz w:val="28"/>
        </w:rPr>
        <w:t xml:space="preserve">Tenk deg at du skal undersøke eksperimentelt effekten av å trene to grupper forsøkspersoner i problemløsing. </w:t>
      </w:r>
    </w:p>
    <w:p w14:paraId="6BF1794F" w14:textId="77777777" w:rsidR="00A96E7F" w:rsidRDefault="003E1259" w:rsidP="003E1259">
      <w:pPr>
        <w:rPr>
          <w:sz w:val="28"/>
        </w:rPr>
      </w:pPr>
      <w:r w:rsidRPr="003E1259">
        <w:rPr>
          <w:sz w:val="28"/>
        </w:rPr>
        <w:t>Den ene gruppen består av musikere og billedkunstnere, den and</w:t>
      </w:r>
      <w:r w:rsidR="00A96E7F">
        <w:rPr>
          <w:sz w:val="28"/>
        </w:rPr>
        <w:t>r</w:t>
      </w:r>
      <w:r w:rsidRPr="003E1259">
        <w:rPr>
          <w:sz w:val="28"/>
        </w:rPr>
        <w:t xml:space="preserve">e av ingeniører og forskere. </w:t>
      </w:r>
    </w:p>
    <w:p w14:paraId="466C804B" w14:textId="70C0D06B" w:rsidR="003E1259" w:rsidRPr="003E1259" w:rsidRDefault="003E1259" w:rsidP="003E1259">
      <w:pPr>
        <w:rPr>
          <w:sz w:val="28"/>
        </w:rPr>
      </w:pPr>
      <w:r w:rsidRPr="003E1259">
        <w:rPr>
          <w:sz w:val="28"/>
        </w:rPr>
        <w:t>Forklar hvordan du vil designe eksperimentet for kunne påvise en eksperimentell effekt hos begge gruppene med tanke på at de i utgangspunkt</w:t>
      </w:r>
      <w:r w:rsidR="00A96E7F">
        <w:rPr>
          <w:sz w:val="28"/>
        </w:rPr>
        <w:t>et</w:t>
      </w:r>
      <w:r w:rsidRPr="003E1259">
        <w:rPr>
          <w:sz w:val="28"/>
        </w:rPr>
        <w:t xml:space="preserve"> har ganske ulike problemløsningsferdigheter. (10%)</w:t>
      </w:r>
    </w:p>
    <w:p w14:paraId="4B82985C" w14:textId="30088F69" w:rsidR="003E1259" w:rsidRDefault="003E1259" w:rsidP="003E1259">
      <w:pPr>
        <w:rPr>
          <w:sz w:val="28"/>
        </w:rPr>
      </w:pPr>
    </w:p>
    <w:p w14:paraId="53727068" w14:textId="77777777" w:rsidR="00A96E7F" w:rsidRPr="003E1259" w:rsidRDefault="00A96E7F" w:rsidP="003E1259">
      <w:pPr>
        <w:rPr>
          <w:sz w:val="28"/>
        </w:rPr>
      </w:pPr>
    </w:p>
    <w:p w14:paraId="3FB07A99" w14:textId="77777777" w:rsidR="00A96E7F" w:rsidRDefault="003E1259" w:rsidP="003E1259">
      <w:pPr>
        <w:rPr>
          <w:b/>
          <w:sz w:val="28"/>
        </w:rPr>
      </w:pPr>
      <w:r w:rsidRPr="003E1259">
        <w:rPr>
          <w:b/>
          <w:sz w:val="28"/>
        </w:rPr>
        <w:t>Oppgave 4.</w:t>
      </w:r>
    </w:p>
    <w:p w14:paraId="155F9768" w14:textId="77777777" w:rsidR="00A96E7F" w:rsidRDefault="003E1259" w:rsidP="003E1259">
      <w:pPr>
        <w:rPr>
          <w:sz w:val="28"/>
        </w:rPr>
      </w:pPr>
      <w:r w:rsidRPr="003E1259">
        <w:rPr>
          <w:sz w:val="28"/>
        </w:rPr>
        <w:t xml:space="preserve"> I eksperimenter hvor deltakernes responser blir målt i flere ulike betingelser </w:t>
      </w:r>
    </w:p>
    <w:p w14:paraId="29A7D611" w14:textId="77777777" w:rsidR="00A96E7F" w:rsidRDefault="003E1259" w:rsidP="003E1259">
      <w:pPr>
        <w:rPr>
          <w:sz w:val="28"/>
        </w:rPr>
      </w:pPr>
      <w:r w:rsidRPr="003E1259">
        <w:rPr>
          <w:sz w:val="28"/>
        </w:rPr>
        <w:t>(Eng: within-participants design) kan man oppleve at de stadig gjør det bedre og responderer raskere i senere betingelser i forhold til tidligere betingelser.</w:t>
      </w:r>
    </w:p>
    <w:p w14:paraId="6C1BD677" w14:textId="0F401D11" w:rsidR="003E1259" w:rsidRPr="003E1259" w:rsidRDefault="003E1259" w:rsidP="003E1259">
      <w:pPr>
        <w:rPr>
          <w:sz w:val="28"/>
        </w:rPr>
      </w:pPr>
      <w:r w:rsidRPr="003E1259">
        <w:rPr>
          <w:sz w:val="28"/>
        </w:rPr>
        <w:t xml:space="preserve"> Forklar kort hvordan man kan motvirke en slik effekt. (5%)</w:t>
      </w:r>
    </w:p>
    <w:p w14:paraId="7C896D6C" w14:textId="77777777" w:rsidR="00A96E7F" w:rsidRDefault="003E1259" w:rsidP="003E1259">
      <w:pPr>
        <w:rPr>
          <w:sz w:val="28"/>
        </w:rPr>
      </w:pPr>
      <w:r w:rsidRPr="003E1259">
        <w:rPr>
          <w:b/>
          <w:sz w:val="28"/>
        </w:rPr>
        <w:lastRenderedPageBreak/>
        <w:t>Oppgave 5.</w:t>
      </w:r>
      <w:r w:rsidRPr="003E1259">
        <w:rPr>
          <w:sz w:val="28"/>
        </w:rPr>
        <w:t xml:space="preserve"> </w:t>
      </w:r>
    </w:p>
    <w:p w14:paraId="56E0E729" w14:textId="77777777" w:rsidR="00A96E7F" w:rsidRDefault="003E1259" w:rsidP="003E1259">
      <w:pPr>
        <w:rPr>
          <w:sz w:val="28"/>
        </w:rPr>
      </w:pPr>
      <w:r w:rsidRPr="003E1259">
        <w:rPr>
          <w:sz w:val="28"/>
        </w:rPr>
        <w:t xml:space="preserve">Du skal konstruere et mindre spørreskjema som måler tilfredshet innenfor flere domener/områder i deltakernes liv. </w:t>
      </w:r>
    </w:p>
    <w:p w14:paraId="60C91617" w14:textId="77777777" w:rsidR="00A96E7F" w:rsidRDefault="003E1259" w:rsidP="003E1259">
      <w:pPr>
        <w:rPr>
          <w:sz w:val="28"/>
        </w:rPr>
      </w:pPr>
      <w:r w:rsidRPr="003E1259">
        <w:rPr>
          <w:sz w:val="28"/>
        </w:rPr>
        <w:t xml:space="preserve">Hva bør du ta hensyn til når du formulerer og presenterer spørsmålene for et utvalg respondenter? </w:t>
      </w:r>
    </w:p>
    <w:p w14:paraId="1CF6B2A1" w14:textId="0D1103BD" w:rsidR="003E1259" w:rsidRPr="003E1259" w:rsidRDefault="003E1259" w:rsidP="003E1259">
      <w:pPr>
        <w:rPr>
          <w:sz w:val="28"/>
        </w:rPr>
      </w:pPr>
      <w:r w:rsidRPr="003E1259">
        <w:rPr>
          <w:sz w:val="28"/>
        </w:rPr>
        <w:t>Begrunn svaret ditt med henvisning til empiri. (5%)</w:t>
      </w:r>
    </w:p>
    <w:p w14:paraId="3F2F8EAD" w14:textId="1D61658C" w:rsidR="003E1259" w:rsidRDefault="003E1259" w:rsidP="003E1259">
      <w:pPr>
        <w:rPr>
          <w:sz w:val="28"/>
        </w:rPr>
      </w:pPr>
    </w:p>
    <w:p w14:paraId="3C8162A2" w14:textId="77777777" w:rsidR="00A96E7F" w:rsidRPr="003E1259" w:rsidRDefault="00A96E7F" w:rsidP="003E1259">
      <w:pPr>
        <w:rPr>
          <w:sz w:val="28"/>
        </w:rPr>
      </w:pPr>
    </w:p>
    <w:p w14:paraId="1E0F1897" w14:textId="77777777" w:rsidR="00A96E7F" w:rsidRDefault="003E1259" w:rsidP="003E1259">
      <w:pPr>
        <w:rPr>
          <w:sz w:val="28"/>
        </w:rPr>
      </w:pPr>
      <w:r w:rsidRPr="003E1259">
        <w:rPr>
          <w:b/>
          <w:sz w:val="28"/>
        </w:rPr>
        <w:t>Oppgave 6.</w:t>
      </w:r>
      <w:r w:rsidRPr="003E1259">
        <w:rPr>
          <w:sz w:val="28"/>
        </w:rPr>
        <w:t xml:space="preserve"> </w:t>
      </w:r>
    </w:p>
    <w:p w14:paraId="5CB3C225" w14:textId="77777777" w:rsidR="00A96E7F" w:rsidRDefault="003E1259" w:rsidP="003E1259">
      <w:pPr>
        <w:rPr>
          <w:sz w:val="28"/>
        </w:rPr>
      </w:pPr>
      <w:r w:rsidRPr="003E1259">
        <w:rPr>
          <w:sz w:val="28"/>
        </w:rPr>
        <w:t xml:space="preserve">Skisser hva som inngår i Schwarz’ (1998) «Major Components of a Survey». </w:t>
      </w:r>
    </w:p>
    <w:p w14:paraId="1E815891" w14:textId="442F1134" w:rsidR="003E1259" w:rsidRPr="003E1259" w:rsidRDefault="003E1259" w:rsidP="003E1259">
      <w:pPr>
        <w:rPr>
          <w:sz w:val="28"/>
        </w:rPr>
      </w:pPr>
      <w:r w:rsidRPr="003E1259">
        <w:rPr>
          <w:sz w:val="28"/>
        </w:rPr>
        <w:t>Ta gjerne utgangspunkt i en figur. (15%)</w:t>
      </w:r>
    </w:p>
    <w:p w14:paraId="632F84B8" w14:textId="772BDF81" w:rsidR="003E1259" w:rsidRDefault="003E1259" w:rsidP="003E1259">
      <w:pPr>
        <w:rPr>
          <w:sz w:val="28"/>
        </w:rPr>
      </w:pPr>
    </w:p>
    <w:p w14:paraId="692A3E70" w14:textId="77777777" w:rsidR="00A96E7F" w:rsidRPr="003E1259" w:rsidRDefault="00A96E7F" w:rsidP="003E1259">
      <w:pPr>
        <w:rPr>
          <w:sz w:val="28"/>
        </w:rPr>
      </w:pPr>
    </w:p>
    <w:p w14:paraId="62B8A87C" w14:textId="77777777" w:rsidR="00A96E7F" w:rsidRDefault="003E1259" w:rsidP="003E1259">
      <w:pPr>
        <w:rPr>
          <w:b/>
          <w:sz w:val="28"/>
        </w:rPr>
      </w:pPr>
      <w:r w:rsidRPr="003E1259">
        <w:rPr>
          <w:b/>
          <w:sz w:val="28"/>
        </w:rPr>
        <w:t xml:space="preserve">Oppgave 7. </w:t>
      </w:r>
    </w:p>
    <w:p w14:paraId="5061A395" w14:textId="77777777" w:rsidR="00A96E7F" w:rsidRDefault="003E1259" w:rsidP="003E1259">
      <w:pPr>
        <w:rPr>
          <w:sz w:val="28"/>
        </w:rPr>
      </w:pPr>
      <w:r w:rsidRPr="003E1259">
        <w:rPr>
          <w:sz w:val="28"/>
        </w:rPr>
        <w:t xml:space="preserve">Hva handler den såkalte «reproduksjonskrisen» i psykologisk forskning om? </w:t>
      </w:r>
    </w:p>
    <w:p w14:paraId="31038313" w14:textId="6124807A" w:rsidR="003E1259" w:rsidRPr="003E1259" w:rsidRDefault="003E1259" w:rsidP="003E1259">
      <w:pPr>
        <w:rPr>
          <w:sz w:val="28"/>
        </w:rPr>
      </w:pPr>
      <w:r w:rsidRPr="003E1259">
        <w:rPr>
          <w:sz w:val="28"/>
        </w:rPr>
        <w:t>Diskuter hvor stort er dette problemet for ulike deler av psykologien (15%)</w:t>
      </w:r>
    </w:p>
    <w:p w14:paraId="6EC84FE2" w14:textId="4CCD6E1C" w:rsidR="003E1259" w:rsidRDefault="003E1259" w:rsidP="003E1259">
      <w:pPr>
        <w:rPr>
          <w:sz w:val="28"/>
        </w:rPr>
      </w:pPr>
    </w:p>
    <w:p w14:paraId="0005FFFE" w14:textId="77777777" w:rsidR="00A96E7F" w:rsidRPr="003E1259" w:rsidRDefault="00A96E7F" w:rsidP="003E1259">
      <w:pPr>
        <w:rPr>
          <w:sz w:val="28"/>
        </w:rPr>
      </w:pPr>
    </w:p>
    <w:p w14:paraId="37D82D2F" w14:textId="77777777" w:rsidR="00A96E7F" w:rsidRDefault="003E1259" w:rsidP="003E1259">
      <w:pPr>
        <w:rPr>
          <w:sz w:val="28"/>
        </w:rPr>
      </w:pPr>
      <w:r w:rsidRPr="003E1259">
        <w:rPr>
          <w:b/>
          <w:sz w:val="28"/>
        </w:rPr>
        <w:t>Oppgave 8.</w:t>
      </w:r>
      <w:r w:rsidRPr="003E1259">
        <w:rPr>
          <w:sz w:val="28"/>
        </w:rPr>
        <w:t xml:space="preserve"> </w:t>
      </w:r>
    </w:p>
    <w:p w14:paraId="69004621" w14:textId="77777777" w:rsidR="00A96E7F" w:rsidRDefault="003E1259" w:rsidP="003E1259">
      <w:pPr>
        <w:rPr>
          <w:sz w:val="28"/>
        </w:rPr>
      </w:pPr>
      <w:r w:rsidRPr="003E1259">
        <w:rPr>
          <w:sz w:val="28"/>
        </w:rPr>
        <w:t xml:space="preserve">Hva innebærer såkalte «følsomme» spørsmål i surveys? </w:t>
      </w:r>
    </w:p>
    <w:p w14:paraId="15AD8518" w14:textId="7B4A35D6" w:rsidR="003E1259" w:rsidRPr="003E1259" w:rsidRDefault="003E1259" w:rsidP="003E1259">
      <w:pPr>
        <w:rPr>
          <w:sz w:val="28"/>
        </w:rPr>
      </w:pPr>
      <w:r w:rsidRPr="003E1259">
        <w:rPr>
          <w:sz w:val="28"/>
        </w:rPr>
        <w:t>Redegjør for hvilke problemer som slike spørsmål kan føre med seg, og nevn minst to metoder man kan anvende for å unngå disse problemene. (20%)</w:t>
      </w:r>
    </w:p>
    <w:p w14:paraId="3CD7A417" w14:textId="4A8F55B3" w:rsidR="003E1259" w:rsidRDefault="003E1259" w:rsidP="003E1259">
      <w:pPr>
        <w:rPr>
          <w:sz w:val="28"/>
        </w:rPr>
      </w:pPr>
    </w:p>
    <w:p w14:paraId="77D79B93" w14:textId="77777777" w:rsidR="00A96E7F" w:rsidRPr="003E1259" w:rsidRDefault="00A96E7F" w:rsidP="003E1259">
      <w:pPr>
        <w:rPr>
          <w:sz w:val="28"/>
        </w:rPr>
      </w:pPr>
    </w:p>
    <w:p w14:paraId="14C7883F" w14:textId="77777777" w:rsidR="00A96E7F" w:rsidRDefault="003E1259" w:rsidP="003E1259">
      <w:pPr>
        <w:rPr>
          <w:sz w:val="28"/>
        </w:rPr>
      </w:pPr>
      <w:r w:rsidRPr="003E1259">
        <w:rPr>
          <w:b/>
          <w:sz w:val="28"/>
        </w:rPr>
        <w:t>Oppgave 9.</w:t>
      </w:r>
      <w:r w:rsidRPr="003E1259">
        <w:rPr>
          <w:sz w:val="28"/>
        </w:rPr>
        <w:t xml:space="preserve"> </w:t>
      </w:r>
    </w:p>
    <w:p w14:paraId="5763D15B" w14:textId="77777777" w:rsidR="00A96E7F" w:rsidRDefault="003E1259" w:rsidP="003E1259">
      <w:pPr>
        <w:rPr>
          <w:sz w:val="28"/>
        </w:rPr>
      </w:pPr>
      <w:r w:rsidRPr="003E1259">
        <w:rPr>
          <w:sz w:val="28"/>
        </w:rPr>
        <w:t xml:space="preserve">Ragnhild og Rune ønsker å gjøre to studier. </w:t>
      </w:r>
    </w:p>
    <w:p w14:paraId="37BECCF0" w14:textId="2B63779C" w:rsidR="003E1259" w:rsidRDefault="003E1259" w:rsidP="003E1259">
      <w:pPr>
        <w:rPr>
          <w:sz w:val="28"/>
        </w:rPr>
      </w:pPr>
      <w:r w:rsidRPr="003E1259">
        <w:rPr>
          <w:sz w:val="28"/>
        </w:rPr>
        <w:t>Hvilke forskningsetiske utfordringer står de overfor, hva må de gjøre med tanke på etiske spørsmål, hvor må de eventuelt søke eller melde inn prosjektet, og hvilket lovverk kommer til anvendelse for hver av studiene nedenfor? (20%)</w:t>
      </w:r>
    </w:p>
    <w:p w14:paraId="21F07690" w14:textId="77777777" w:rsidR="00A96E7F" w:rsidRPr="003E1259" w:rsidRDefault="00A96E7F" w:rsidP="003E1259">
      <w:pPr>
        <w:rPr>
          <w:sz w:val="28"/>
        </w:rPr>
      </w:pPr>
    </w:p>
    <w:p w14:paraId="360DA4DA" w14:textId="77777777" w:rsidR="00A96E7F" w:rsidRDefault="003E1259" w:rsidP="003E1259">
      <w:pPr>
        <w:pStyle w:val="Listeavsnitt"/>
        <w:numPr>
          <w:ilvl w:val="0"/>
          <w:numId w:val="2"/>
        </w:numPr>
        <w:rPr>
          <w:sz w:val="28"/>
          <w:lang w:val="nb-NO"/>
        </w:rPr>
      </w:pPr>
      <w:r w:rsidRPr="003E1259">
        <w:rPr>
          <w:sz w:val="28"/>
          <w:lang w:val="nb-NO"/>
        </w:rPr>
        <w:t xml:space="preserve">Studie 1: </w:t>
      </w:r>
    </w:p>
    <w:p w14:paraId="2DC8F113" w14:textId="2E48B327" w:rsidR="003E1259" w:rsidRPr="003E1259" w:rsidRDefault="003E1259" w:rsidP="00A96E7F">
      <w:pPr>
        <w:pStyle w:val="Listeavsnitt"/>
        <w:rPr>
          <w:sz w:val="28"/>
          <w:lang w:val="nb-NO"/>
        </w:rPr>
      </w:pPr>
      <w:r w:rsidRPr="003E1259">
        <w:rPr>
          <w:sz w:val="28"/>
          <w:lang w:val="nb-NO"/>
        </w:rPr>
        <w:t xml:space="preserve">De ønsker å forske på videopptak av barn som har sittet i avhør på </w:t>
      </w:r>
    </w:p>
    <w:p w14:paraId="2135D913" w14:textId="77777777" w:rsidR="00A96E7F" w:rsidRDefault="003E1259" w:rsidP="003E1259">
      <w:pPr>
        <w:pStyle w:val="Listeavsnitt"/>
        <w:rPr>
          <w:sz w:val="28"/>
          <w:lang w:val="nb-NO"/>
        </w:rPr>
      </w:pPr>
      <w:r w:rsidRPr="003E1259">
        <w:rPr>
          <w:sz w:val="28"/>
          <w:lang w:val="nb-NO"/>
        </w:rPr>
        <w:t xml:space="preserve">Barnehusene på grunn av </w:t>
      </w:r>
      <w:r w:rsidR="00A96E7F">
        <w:rPr>
          <w:sz w:val="28"/>
          <w:lang w:val="nb-NO"/>
        </w:rPr>
        <w:t>mistanke om vold i hjemmemiljø.</w:t>
      </w:r>
    </w:p>
    <w:p w14:paraId="5DA82877" w14:textId="38B5588B" w:rsidR="003E1259" w:rsidRDefault="003E1259" w:rsidP="003E1259">
      <w:pPr>
        <w:pStyle w:val="Listeavsnitt"/>
        <w:rPr>
          <w:sz w:val="28"/>
          <w:lang w:val="nb-NO"/>
        </w:rPr>
      </w:pPr>
      <w:r w:rsidRPr="003E1259">
        <w:rPr>
          <w:sz w:val="28"/>
          <w:lang w:val="nb-NO"/>
        </w:rPr>
        <w:t xml:space="preserve">De skal ikke ha direkte informasjon fra hverken </w:t>
      </w:r>
      <w:r w:rsidR="00A96E7F">
        <w:rPr>
          <w:sz w:val="28"/>
          <w:lang w:val="nb-NO"/>
        </w:rPr>
        <w:tab/>
      </w:r>
      <w:r w:rsidR="00A96E7F">
        <w:rPr>
          <w:sz w:val="28"/>
          <w:lang w:val="nb-NO"/>
        </w:rPr>
        <w:tab/>
        <w:t xml:space="preserve">                </w:t>
      </w:r>
      <w:r w:rsidRPr="003E1259">
        <w:rPr>
          <w:sz w:val="28"/>
          <w:lang w:val="nb-NO"/>
        </w:rPr>
        <w:t>barn/foreldre/fosterforeldre.</w:t>
      </w:r>
    </w:p>
    <w:p w14:paraId="45F95233" w14:textId="77777777" w:rsidR="00A96E7F" w:rsidRPr="003E1259" w:rsidRDefault="00A96E7F" w:rsidP="003E1259">
      <w:pPr>
        <w:pStyle w:val="Listeavsnitt"/>
        <w:rPr>
          <w:sz w:val="28"/>
          <w:lang w:val="nb-NO"/>
        </w:rPr>
      </w:pPr>
    </w:p>
    <w:p w14:paraId="049E38C6" w14:textId="77777777" w:rsidR="00A96E7F" w:rsidRDefault="003E1259" w:rsidP="003E1259">
      <w:pPr>
        <w:pStyle w:val="Listeavsnitt"/>
        <w:numPr>
          <w:ilvl w:val="0"/>
          <w:numId w:val="2"/>
        </w:numPr>
        <w:rPr>
          <w:sz w:val="28"/>
          <w:lang w:val="nb-NO"/>
        </w:rPr>
      </w:pPr>
      <w:r w:rsidRPr="003E1259">
        <w:rPr>
          <w:sz w:val="28"/>
          <w:lang w:val="nb-NO"/>
        </w:rPr>
        <w:t xml:space="preserve">Studie 2: </w:t>
      </w:r>
    </w:p>
    <w:p w14:paraId="07FA7434" w14:textId="7BFEB902" w:rsidR="00A96E7F" w:rsidRDefault="003E1259" w:rsidP="00A96E7F">
      <w:pPr>
        <w:pStyle w:val="Listeavsnitt"/>
        <w:rPr>
          <w:sz w:val="28"/>
          <w:lang w:val="nb-NO"/>
        </w:rPr>
      </w:pPr>
      <w:r w:rsidRPr="003E1259">
        <w:rPr>
          <w:sz w:val="28"/>
          <w:lang w:val="nb-NO"/>
        </w:rPr>
        <w:t xml:space="preserve">De ønsker å studere voksne studenters hukommelse for tidlige erfaringer med søskenkonflikter i barndommen. </w:t>
      </w:r>
    </w:p>
    <w:p w14:paraId="75C4A56E" w14:textId="59B8EF95" w:rsidR="003E1259" w:rsidRPr="003A1EEB" w:rsidRDefault="003E1259" w:rsidP="00A96E7F">
      <w:pPr>
        <w:pStyle w:val="Listeavsnitt"/>
        <w:rPr>
          <w:rFonts w:ascii="Arial" w:hAnsi="Arial" w:cs="Arial"/>
          <w:sz w:val="28"/>
          <w:lang w:val="nb-NO"/>
        </w:rPr>
      </w:pPr>
      <w:r w:rsidRPr="003E1259">
        <w:rPr>
          <w:sz w:val="28"/>
          <w:lang w:val="nb-NO"/>
        </w:rPr>
        <w:t>De vil bruke et elektronisk spørreskjema og rekruttere fra forelesninger.</w:t>
      </w:r>
    </w:p>
    <w:p w14:paraId="03A31D2D" w14:textId="4B337DDC" w:rsidR="003722C8" w:rsidRPr="003E1259" w:rsidRDefault="003722C8" w:rsidP="003E1259">
      <w:pPr>
        <w:rPr>
          <w:sz w:val="28"/>
        </w:rPr>
      </w:pPr>
    </w:p>
    <w:sectPr w:rsidR="003722C8" w:rsidRPr="003E1259">
      <w:headerReference w:type="default" r:id="rId9"/>
      <w:footerReference w:type="default" r:id="rId10"/>
      <w:footerReference w:type="first" r:id="rId11"/>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1E65" w14:textId="77777777" w:rsidR="00512F1F" w:rsidRDefault="00512F1F">
      <w:r>
        <w:separator/>
      </w:r>
    </w:p>
  </w:endnote>
  <w:endnote w:type="continuationSeparator" w:id="0">
    <w:p w14:paraId="4BB31A28" w14:textId="77777777" w:rsidR="00512F1F" w:rsidRDefault="005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A0A4" w14:textId="62F232FA" w:rsidR="00C45EF3" w:rsidRDefault="00C45EF3" w:rsidP="000B5FEE">
    <w:pPr>
      <w:pStyle w:val="Bunntekst"/>
      <w:tabs>
        <w:tab w:val="clear" w:pos="4536"/>
        <w:tab w:val="clear" w:pos="9072"/>
        <w:tab w:val="right" w:pos="9809"/>
      </w:tabs>
      <w:rPr>
        <w:sz w:val="16"/>
      </w:rPr>
    </w:pPr>
    <w:r>
      <w:rPr>
        <w:sz w:val="16"/>
      </w:rPr>
      <w:tab/>
    </w:r>
  </w:p>
  <w:p w14:paraId="009A7C16" w14:textId="77777777" w:rsidR="000B5FEE" w:rsidRDefault="000B5FEE" w:rsidP="000B5FEE">
    <w:pPr>
      <w:pStyle w:val="Bunntekst"/>
      <w:tabs>
        <w:tab w:val="clear" w:pos="4536"/>
        <w:tab w:val="clear" w:pos="9072"/>
        <w:tab w:val="right" w:pos="9809"/>
      </w:tabs>
    </w:pPr>
  </w:p>
  <w:p w14:paraId="7403997A" w14:textId="77777777" w:rsidR="00C45EF3" w:rsidRDefault="00C45EF3">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Merk! Studenter finner sensur i Studentweb.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76CD" w14:textId="77777777" w:rsidR="00512F1F" w:rsidRDefault="00512F1F">
      <w:r>
        <w:rPr>
          <w:color w:val="000000"/>
        </w:rPr>
        <w:separator/>
      </w:r>
    </w:p>
  </w:footnote>
  <w:footnote w:type="continuationSeparator" w:id="0">
    <w:p w14:paraId="7E6125B7" w14:textId="77777777" w:rsidR="00512F1F" w:rsidRDefault="005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B06BFF"/>
    <w:multiLevelType w:val="hybridMultilevel"/>
    <w:tmpl w:val="87BC98E8"/>
    <w:lvl w:ilvl="0" w:tplc="D2E4EA20">
      <w:start w:val="1"/>
      <w:numFmt w:val="decimal"/>
      <w:lvlText w:val="(%1)"/>
      <w:lvlJc w:val="left"/>
      <w:pPr>
        <w:ind w:left="750" w:hanging="39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CF540D4"/>
    <w:multiLevelType w:val="hybridMultilevel"/>
    <w:tmpl w:val="A084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1"/>
  <w:proofState w:grammar="clean"/>
  <w:attachedTemplate r:id="rId1"/>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B1727"/>
    <w:rsid w:val="000B5FEE"/>
    <w:rsid w:val="00101704"/>
    <w:rsid w:val="001A394C"/>
    <w:rsid w:val="001B7088"/>
    <w:rsid w:val="001C7994"/>
    <w:rsid w:val="002845F0"/>
    <w:rsid w:val="002C49CE"/>
    <w:rsid w:val="0031730A"/>
    <w:rsid w:val="003622F0"/>
    <w:rsid w:val="003722C8"/>
    <w:rsid w:val="003A1EEB"/>
    <w:rsid w:val="003D6D59"/>
    <w:rsid w:val="003E1259"/>
    <w:rsid w:val="004522FD"/>
    <w:rsid w:val="00512F1F"/>
    <w:rsid w:val="005E695F"/>
    <w:rsid w:val="006356DC"/>
    <w:rsid w:val="00756523"/>
    <w:rsid w:val="009A7B81"/>
    <w:rsid w:val="009B553E"/>
    <w:rsid w:val="00A1395B"/>
    <w:rsid w:val="00A96E7F"/>
    <w:rsid w:val="00AA2831"/>
    <w:rsid w:val="00AB5DD4"/>
    <w:rsid w:val="00B76E4A"/>
    <w:rsid w:val="00C45EF3"/>
    <w:rsid w:val="00C56C24"/>
    <w:rsid w:val="00CB32AC"/>
    <w:rsid w:val="00CC67D1"/>
    <w:rsid w:val="00DB7C24"/>
    <w:rsid w:val="00DE01A2"/>
    <w:rsid w:val="00E23C63"/>
    <w:rsid w:val="00EC23E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586FD4F"/>
  <w15:docId w15:val="{084A45B2-A74A-4219-9692-BFBAD3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table" w:styleId="Tabellrutenett">
    <w:name w:val="Table Grid"/>
    <w:basedOn w:val="Vanligtabell"/>
    <w:uiPriority w:val="59"/>
    <w:rsid w:val="001C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B32AC"/>
    <w:pPr>
      <w:suppressAutoHyphens w:val="0"/>
      <w:autoSpaceDN/>
      <w:ind w:left="720"/>
      <w:contextualSpacing/>
      <w:textAlignment w:val="auto"/>
    </w:pPr>
    <w:rPr>
      <w:rFonts w:asciiTheme="minorHAnsi" w:eastAsiaTheme="minorHAnsi" w:hAnsiTheme="minorHAnsi" w:cstheme="minorBid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i\INFO\b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b_brev.dot</Template>
  <TotalTime>0</TotalTime>
  <Pages>10</Pages>
  <Words>3942</Words>
  <Characters>20893</Characters>
  <Application>Microsoft Office Word</Application>
  <DocSecurity>0</DocSecurity>
  <Lines>174</Lines>
  <Paragraphs>49</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5</cp:revision>
  <cp:lastPrinted>2015-10-23T10:20:00Z</cp:lastPrinted>
  <dcterms:created xsi:type="dcterms:W3CDTF">2018-04-27T11:07:00Z</dcterms:created>
  <dcterms:modified xsi:type="dcterms:W3CDTF">2018-09-13T06:06:00Z</dcterms:modified>
</cp:coreProperties>
</file>